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2385" w:rsidRDefault="00B760A9">
      <w:pPr>
        <w:spacing w:line="240" w:lineRule="auto"/>
        <w:jc w:val="center"/>
      </w:pPr>
      <w:bookmarkStart w:id="0" w:name="_GoBack"/>
      <w:bookmarkEnd w:id="0"/>
      <w:r>
        <w:rPr>
          <w:rFonts w:ascii="Arial Narrow" w:eastAsia="Arial Narrow" w:hAnsi="Arial Narrow" w:cs="Arial Narrow"/>
          <w:sz w:val="28"/>
          <w:szCs w:val="28"/>
        </w:rPr>
        <w:t>Letter of Medical Necessity: Test Code 1200 / 1773</w:t>
      </w:r>
    </w:p>
    <w:p w:rsidR="004D2385" w:rsidRDefault="004D2385">
      <w:pPr>
        <w:spacing w:after="0" w:line="240" w:lineRule="auto"/>
      </w:pPr>
    </w:p>
    <w:p w:rsidR="004D2385" w:rsidRDefault="00B760A9">
      <w:pPr>
        <w:spacing w:line="240" w:lineRule="auto"/>
      </w:pPr>
      <w:r>
        <w:rPr>
          <w:rFonts w:ascii="Arial Narrow" w:eastAsia="Arial Narrow" w:hAnsi="Arial Narrow" w:cs="Arial Narrow"/>
          <w:sz w:val="24"/>
          <w:szCs w:val="24"/>
        </w:rPr>
        <w:t>&lt;&lt;Today’s Date&gt;&gt;</w:t>
      </w:r>
    </w:p>
    <w:p w:rsidR="004D2385" w:rsidRDefault="00B760A9">
      <w:pPr>
        <w:spacing w:after="0" w:line="240" w:lineRule="auto"/>
      </w:pPr>
      <w:r>
        <w:rPr>
          <w:rFonts w:ascii="Arial Narrow" w:eastAsia="Arial Narrow" w:hAnsi="Arial Narrow" w:cs="Arial Narrow"/>
          <w:sz w:val="24"/>
          <w:szCs w:val="24"/>
        </w:rPr>
        <w:t>&lt;&lt;Insurance Company Name&gt;&gt;</w:t>
      </w:r>
    </w:p>
    <w:p w:rsidR="004D2385" w:rsidRDefault="00B760A9">
      <w:pPr>
        <w:spacing w:after="0" w:line="240" w:lineRule="auto"/>
      </w:pPr>
      <w:r>
        <w:rPr>
          <w:rFonts w:ascii="Arial Narrow" w:eastAsia="Arial Narrow" w:hAnsi="Arial Narrow" w:cs="Arial Narrow"/>
          <w:sz w:val="24"/>
          <w:szCs w:val="24"/>
        </w:rPr>
        <w:t>&lt;&lt;Address 1&gt;&gt;</w:t>
      </w:r>
    </w:p>
    <w:p w:rsidR="004D2385" w:rsidRDefault="00B760A9">
      <w:pPr>
        <w:spacing w:after="0" w:line="240" w:lineRule="auto"/>
      </w:pPr>
      <w:r>
        <w:rPr>
          <w:rFonts w:ascii="Arial Narrow" w:eastAsia="Arial Narrow" w:hAnsi="Arial Narrow" w:cs="Arial Narrow"/>
          <w:sz w:val="24"/>
          <w:szCs w:val="24"/>
        </w:rPr>
        <w:t>&lt;&lt;Address 2&gt;&gt;</w:t>
      </w:r>
    </w:p>
    <w:p w:rsidR="004D2385" w:rsidRDefault="00B760A9">
      <w:pPr>
        <w:spacing w:after="0" w:line="240" w:lineRule="auto"/>
      </w:pPr>
      <w:r>
        <w:rPr>
          <w:rFonts w:ascii="Arial Narrow" w:eastAsia="Arial Narrow" w:hAnsi="Arial Narrow" w:cs="Arial Narrow"/>
          <w:sz w:val="24"/>
          <w:szCs w:val="24"/>
        </w:rPr>
        <w:t>&lt;&lt;City, State ZIP&gt;&gt;</w:t>
      </w:r>
    </w:p>
    <w:p w:rsidR="004D2385" w:rsidRDefault="004D2385">
      <w:pPr>
        <w:spacing w:after="0" w:line="240" w:lineRule="auto"/>
      </w:pPr>
    </w:p>
    <w:p w:rsidR="004D2385" w:rsidRDefault="00B760A9">
      <w:pPr>
        <w:spacing w:after="0" w:line="240" w:lineRule="auto"/>
      </w:pPr>
      <w:r>
        <w:rPr>
          <w:rFonts w:ascii="Arial Narrow" w:eastAsia="Arial Narrow" w:hAnsi="Arial Narrow" w:cs="Arial Narrow"/>
          <w:b/>
          <w:sz w:val="24"/>
          <w:szCs w:val="24"/>
        </w:rPr>
        <w:t>Regarding:</w:t>
      </w:r>
      <w:r>
        <w:rPr>
          <w:rFonts w:ascii="Arial Narrow" w:eastAsia="Arial Narrow" w:hAnsi="Arial Narrow" w:cs="Arial Narrow"/>
          <w:sz w:val="24"/>
          <w:szCs w:val="24"/>
        </w:rPr>
        <w:t xml:space="preserve"> &lt;&lt;Patient full name&gt;&gt;</w:t>
      </w:r>
      <w:r>
        <w:rPr>
          <w:rFonts w:ascii="Arial Narrow" w:eastAsia="Arial Narrow" w:hAnsi="Arial Narrow" w:cs="Arial Narrow"/>
          <w:sz w:val="24"/>
          <w:szCs w:val="24"/>
        </w:rPr>
        <w:br/>
      </w:r>
      <w:r>
        <w:rPr>
          <w:rFonts w:ascii="Arial Narrow" w:eastAsia="Arial Narrow" w:hAnsi="Arial Narrow" w:cs="Arial Narrow"/>
          <w:b/>
          <w:sz w:val="24"/>
          <w:szCs w:val="24"/>
        </w:rPr>
        <w:t>DOB:</w:t>
      </w:r>
      <w:r>
        <w:rPr>
          <w:rFonts w:ascii="Arial Narrow" w:eastAsia="Arial Narrow" w:hAnsi="Arial Narrow" w:cs="Arial Narrow"/>
          <w:sz w:val="24"/>
          <w:szCs w:val="24"/>
        </w:rPr>
        <w:t xml:space="preserve"> &lt;&lt;MM/DD/YYYY&gt;&gt;</w:t>
      </w:r>
    </w:p>
    <w:p w:rsidR="004D2385" w:rsidRDefault="00B760A9">
      <w:pPr>
        <w:spacing w:after="0" w:line="240" w:lineRule="auto"/>
      </w:pPr>
      <w:r>
        <w:rPr>
          <w:rFonts w:ascii="Arial Narrow" w:eastAsia="Arial Narrow" w:hAnsi="Arial Narrow" w:cs="Arial Narrow"/>
          <w:b/>
          <w:sz w:val="24"/>
          <w:szCs w:val="24"/>
        </w:rPr>
        <w:t>Subscriber ID:</w:t>
      </w:r>
      <w:r>
        <w:rPr>
          <w:rFonts w:ascii="Arial Narrow" w:eastAsia="Arial Narrow" w:hAnsi="Arial Narrow" w:cs="Arial Narrow"/>
          <w:sz w:val="24"/>
          <w:szCs w:val="24"/>
        </w:rPr>
        <w:t xml:space="preserve"> &lt;&lt;Member ID#&gt;&gt;</w:t>
      </w:r>
    </w:p>
    <w:p w:rsidR="004D2385" w:rsidRDefault="00B760A9">
      <w:pPr>
        <w:spacing w:after="0" w:line="240" w:lineRule="auto"/>
      </w:pPr>
      <w:r>
        <w:rPr>
          <w:rFonts w:ascii="Arial Narrow" w:eastAsia="Arial Narrow" w:hAnsi="Arial Narrow" w:cs="Arial Narrow"/>
          <w:b/>
          <w:sz w:val="24"/>
          <w:szCs w:val="24"/>
        </w:rPr>
        <w:t>Group ID:</w:t>
      </w:r>
      <w:r>
        <w:rPr>
          <w:rFonts w:ascii="Arial Narrow" w:eastAsia="Arial Narrow" w:hAnsi="Arial Narrow" w:cs="Arial Narrow"/>
          <w:sz w:val="24"/>
          <w:szCs w:val="24"/>
        </w:rPr>
        <w:t xml:space="preserve"> &lt;&lt;Group ID#&gt;&gt;</w:t>
      </w:r>
    </w:p>
    <w:p w:rsidR="004D2385" w:rsidRDefault="004D2385">
      <w:pPr>
        <w:spacing w:after="0" w:line="240" w:lineRule="auto"/>
      </w:pPr>
    </w:p>
    <w:p w:rsidR="004D2385" w:rsidRDefault="00B760A9">
      <w:pPr>
        <w:spacing w:line="240" w:lineRule="auto"/>
      </w:pPr>
      <w:r>
        <w:rPr>
          <w:rFonts w:ascii="Arial Narrow" w:eastAsia="Arial Narrow" w:hAnsi="Arial Narrow" w:cs="Arial Narrow"/>
          <w:b/>
          <w:sz w:val="24"/>
          <w:szCs w:val="24"/>
          <w:u w:val="single"/>
        </w:rPr>
        <w:t>Re</w:t>
      </w:r>
      <w:r>
        <w:rPr>
          <w:rFonts w:ascii="Arial Narrow" w:eastAsia="Arial Narrow" w:hAnsi="Arial Narrow" w:cs="Arial Narrow"/>
          <w:sz w:val="24"/>
          <w:szCs w:val="24"/>
        </w:rPr>
        <w:t>: Request for prior authorization and coverage for PreventionGenetics’ Dystrophinopathy testing via deletion/duplication and sequencing assays.  Billing is through &lt;&lt;billing institution&gt;&gt; with testing performed at PreventionGenetics, LLC.  The CPT code for</w:t>
      </w:r>
      <w:r>
        <w:rPr>
          <w:rFonts w:ascii="Arial Narrow" w:eastAsia="Arial Narrow" w:hAnsi="Arial Narrow" w:cs="Arial Narrow"/>
          <w:sz w:val="24"/>
          <w:szCs w:val="24"/>
        </w:rPr>
        <w:t xml:space="preserve"> PreventionGenetics’ deletion/duplication test code #1200 is 81161.  The CPT code for PreventionGenetics’ NGS sequencing is test code #1773 is 81479. The ICD 10 code(s) associated with the patient’s diagnosis include &lt;&lt;ICD code(s)&gt;&gt;.</w:t>
      </w:r>
    </w:p>
    <w:p w:rsidR="004D2385" w:rsidRDefault="00B760A9">
      <w:pPr>
        <w:spacing w:line="240" w:lineRule="auto"/>
      </w:pPr>
      <w:r>
        <w:rPr>
          <w:rFonts w:ascii="Arial Narrow" w:eastAsia="Arial Narrow" w:hAnsi="Arial Narrow" w:cs="Arial Narrow"/>
          <w:b/>
          <w:sz w:val="24"/>
          <w:szCs w:val="24"/>
          <w:u w:val="single"/>
        </w:rPr>
        <w:t>Duchenne and Becker Mu</w:t>
      </w:r>
      <w:r>
        <w:rPr>
          <w:rFonts w:ascii="Arial Narrow" w:eastAsia="Arial Narrow" w:hAnsi="Arial Narrow" w:cs="Arial Narrow"/>
          <w:b/>
          <w:sz w:val="24"/>
          <w:szCs w:val="24"/>
          <w:u w:val="single"/>
        </w:rPr>
        <w:t xml:space="preserve">scular Dystrophy </w:t>
      </w:r>
    </w:p>
    <w:p w:rsidR="004D2385" w:rsidRDefault="00B760A9">
      <w:pPr>
        <w:spacing w:line="240" w:lineRule="auto"/>
      </w:pPr>
      <w:r>
        <w:rPr>
          <w:rFonts w:ascii="Arial Narrow" w:eastAsia="Arial Narrow" w:hAnsi="Arial Narrow" w:cs="Arial Narrow"/>
          <w:sz w:val="24"/>
          <w:szCs w:val="24"/>
        </w:rPr>
        <w:t xml:space="preserve">Duchenne muscular dystrophy is the most common form of congenital </w:t>
      </w:r>
      <w:r>
        <w:rPr>
          <w:rFonts w:ascii="Arial Narrow" w:eastAsia="Arial Narrow" w:hAnsi="Arial Narrow" w:cs="Arial Narrow"/>
          <w:sz w:val="24"/>
          <w:szCs w:val="24"/>
        </w:rPr>
        <w:t>muscular dystrophy in all ethnic groups.  Becker muscular dystrophy is a less common, relatively less severe fo</w:t>
      </w:r>
      <w:r>
        <w:rPr>
          <w:rFonts w:ascii="Arial Narrow" w:eastAsia="Arial Narrow" w:hAnsi="Arial Narrow" w:cs="Arial Narrow"/>
          <w:sz w:val="24"/>
          <w:szCs w:val="24"/>
        </w:rPr>
        <w:t xml:space="preserve">rm of dystrophinopathy with later onset of proximal weakness </w:t>
      </w:r>
      <w:r>
        <w:rPr>
          <w:rFonts w:ascii="Arial Narrow" w:eastAsia="Arial Narrow" w:hAnsi="Arial Narrow" w:cs="Arial Narrow"/>
          <w:sz w:val="24"/>
          <w:szCs w:val="24"/>
        </w:rPr>
        <w:t>and preservation of ambulation into the third decade of life.</w:t>
      </w:r>
      <w:r>
        <w:rPr>
          <w:rFonts w:ascii="Arial Narrow" w:eastAsia="Arial Narrow" w:hAnsi="Arial Narrow" w:cs="Arial Narrow"/>
          <w:sz w:val="24"/>
          <w:szCs w:val="24"/>
          <w:vertAlign w:val="superscript"/>
        </w:rPr>
        <w:t>1</w:t>
      </w:r>
      <w:r>
        <w:rPr>
          <w:rFonts w:ascii="Arial Narrow" w:eastAsia="Arial Narrow" w:hAnsi="Arial Narrow" w:cs="Arial Narrow"/>
          <w:sz w:val="24"/>
          <w:szCs w:val="24"/>
        </w:rPr>
        <w:t xml:space="preserve"> </w:t>
      </w:r>
      <w:proofErr w:type="gramStart"/>
      <w:r>
        <w:rPr>
          <w:rFonts w:ascii="Arial Narrow" w:eastAsia="Arial Narrow" w:hAnsi="Arial Narrow" w:cs="Arial Narrow"/>
          <w:sz w:val="24"/>
          <w:szCs w:val="24"/>
        </w:rPr>
        <w:t>These</w:t>
      </w:r>
      <w:proofErr w:type="gramEnd"/>
      <w:r>
        <w:rPr>
          <w:rFonts w:ascii="Arial Narrow" w:eastAsia="Arial Narrow" w:hAnsi="Arial Narrow" w:cs="Arial Narrow"/>
          <w:sz w:val="24"/>
          <w:szCs w:val="24"/>
        </w:rPr>
        <w:t xml:space="preserve"> conditions are caused by variants in the dystrophin-encoding </w:t>
      </w:r>
      <w:r>
        <w:rPr>
          <w:rFonts w:ascii="Arial Narrow" w:eastAsia="Arial Narrow" w:hAnsi="Arial Narrow" w:cs="Arial Narrow"/>
          <w:i/>
          <w:sz w:val="24"/>
          <w:szCs w:val="24"/>
        </w:rPr>
        <w:t>DMD</w:t>
      </w:r>
      <w:r>
        <w:rPr>
          <w:rFonts w:ascii="Arial Narrow" w:eastAsia="Arial Narrow" w:hAnsi="Arial Narrow" w:cs="Arial Narrow"/>
          <w:sz w:val="24"/>
          <w:szCs w:val="24"/>
        </w:rPr>
        <w:t xml:space="preserve"> gene.  Approximately</w:t>
      </w:r>
      <w:r>
        <w:rPr>
          <w:rFonts w:ascii="Arial Narrow" w:eastAsia="Arial Narrow" w:hAnsi="Arial Narrow" w:cs="Arial Narrow"/>
          <w:sz w:val="24"/>
          <w:szCs w:val="24"/>
        </w:rPr>
        <w:t xml:space="preserve"> 65% of the variants in DMD patients are deletions of one or more exons in this gene that often disrup</w:t>
      </w:r>
      <w:r>
        <w:rPr>
          <w:rFonts w:ascii="Arial Narrow" w:eastAsia="Arial Narrow" w:hAnsi="Arial Narrow" w:cs="Arial Narrow"/>
          <w:sz w:val="24"/>
          <w:szCs w:val="24"/>
        </w:rPr>
        <w:t>t the reading frame. The occurrence of deletions is slightly higher in BMD patients, however most of these are in-frame and do not disrupt the open reading frame (hence the milder phenotype).</w:t>
      </w:r>
      <w:r>
        <w:rPr>
          <w:rFonts w:ascii="Arial Narrow" w:eastAsia="Arial Narrow" w:hAnsi="Arial Narrow" w:cs="Arial Narrow"/>
          <w:sz w:val="24"/>
          <w:szCs w:val="24"/>
          <w:vertAlign w:val="superscript"/>
        </w:rPr>
        <w:t>2</w:t>
      </w:r>
      <w:proofErr w:type="gramStart"/>
      <w:r>
        <w:rPr>
          <w:rFonts w:ascii="Arial Narrow" w:eastAsia="Arial Narrow" w:hAnsi="Arial Narrow" w:cs="Arial Narrow"/>
          <w:sz w:val="24"/>
          <w:szCs w:val="24"/>
          <w:vertAlign w:val="superscript"/>
        </w:rPr>
        <w:t>,6</w:t>
      </w:r>
      <w:proofErr w:type="gramEnd"/>
      <w:r>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 Variants detectable by sequence analysis are found in approx</w:t>
      </w:r>
      <w:r>
        <w:rPr>
          <w:rFonts w:ascii="Arial Narrow" w:eastAsia="Arial Narrow" w:hAnsi="Arial Narrow" w:cs="Arial Narrow"/>
          <w:sz w:val="24"/>
          <w:szCs w:val="24"/>
        </w:rPr>
        <w:t>imately 30% of DMD cases and in appr</w:t>
      </w:r>
      <w:r>
        <w:rPr>
          <w:rFonts w:ascii="Arial Narrow" w:eastAsia="Arial Narrow" w:hAnsi="Arial Narrow" w:cs="Arial Narrow"/>
          <w:sz w:val="24"/>
          <w:szCs w:val="24"/>
        </w:rPr>
        <w:t xml:space="preserve">oximately 20% of BMD cases.  Therefore, it is more cost-efficient and clinically relevant to test for deletions/duplications first followed by reflex to sequencing.  Once a variant is identified, carrier analysis can be </w:t>
      </w:r>
      <w:r>
        <w:rPr>
          <w:rFonts w:ascii="Arial Narrow" w:eastAsia="Arial Narrow" w:hAnsi="Arial Narrow" w:cs="Arial Narrow"/>
          <w:sz w:val="24"/>
          <w:szCs w:val="24"/>
        </w:rPr>
        <w:t>performed for the mother and other female relatives. Carriers are mainly asymptomatic though there is a risk of cardiac involvement, which requires monitoring and intervention if abnormalities are detected.</w:t>
      </w:r>
      <w:r>
        <w:rPr>
          <w:rFonts w:ascii="Arial Narrow" w:eastAsia="Arial Narrow" w:hAnsi="Arial Narrow" w:cs="Arial Narrow"/>
          <w:sz w:val="24"/>
          <w:szCs w:val="24"/>
          <w:vertAlign w:val="superscript"/>
        </w:rPr>
        <w:t xml:space="preserve">3  </w:t>
      </w:r>
    </w:p>
    <w:p w:rsidR="004D2385" w:rsidRDefault="00B760A9">
      <w:pPr>
        <w:spacing w:after="0" w:line="240" w:lineRule="auto"/>
      </w:pPr>
      <w:r>
        <w:rPr>
          <w:rFonts w:ascii="Arial Narrow" w:eastAsia="Arial Narrow" w:hAnsi="Arial Narrow" w:cs="Arial Narrow"/>
          <w:sz w:val="24"/>
          <w:szCs w:val="24"/>
        </w:rPr>
        <w:t>A timely genetic diagnosis is one of the standards of care for DMD.  According to these standards, published in 2010, this is important for family planning and initiating proper care for the affect</w:t>
      </w:r>
      <w:r>
        <w:rPr>
          <w:rFonts w:ascii="Arial Narrow" w:eastAsia="Arial Narrow" w:hAnsi="Arial Narrow" w:cs="Arial Narrow"/>
          <w:sz w:val="24"/>
          <w:szCs w:val="24"/>
        </w:rPr>
        <w:t>ed individual. Confirming carrier status in the mother affe</w:t>
      </w:r>
      <w:r>
        <w:rPr>
          <w:rFonts w:ascii="Arial Narrow" w:eastAsia="Arial Narrow" w:hAnsi="Arial Narrow" w:cs="Arial Narrow"/>
          <w:sz w:val="24"/>
          <w:szCs w:val="24"/>
        </w:rPr>
        <w:t xml:space="preserve">cts family planning and means that her genetic female relatives are potentially at risk of being </w:t>
      </w:r>
      <w:proofErr w:type="gramStart"/>
      <w:r>
        <w:rPr>
          <w:rFonts w:ascii="Arial Narrow" w:eastAsia="Arial Narrow" w:hAnsi="Arial Narrow" w:cs="Arial Narrow"/>
          <w:sz w:val="24"/>
          <w:szCs w:val="24"/>
        </w:rPr>
        <w:t>a DMD carriers</w:t>
      </w:r>
      <w:proofErr w:type="gramEnd"/>
      <w:r>
        <w:rPr>
          <w:rFonts w:ascii="Arial Narrow" w:eastAsia="Arial Narrow" w:hAnsi="Arial Narrow" w:cs="Arial Narrow"/>
          <w:sz w:val="24"/>
          <w:szCs w:val="24"/>
        </w:rPr>
        <w:t>. It is important to realize that even when the mother is not a carrier, it is still possible she has germline mosaicism for the mutation, and in</w:t>
      </w:r>
      <w:r>
        <w:rPr>
          <w:rFonts w:ascii="Arial Narrow" w:eastAsia="Arial Narrow" w:hAnsi="Arial Narrow" w:cs="Arial Narrow"/>
          <w:sz w:val="24"/>
          <w:szCs w:val="24"/>
        </w:rPr>
        <w:t xml:space="preserve"> turn, is still at risk of having another son with </w:t>
      </w:r>
      <w:proofErr w:type="gramStart"/>
      <w:r>
        <w:rPr>
          <w:rFonts w:ascii="Arial Narrow" w:eastAsia="Arial Narrow" w:hAnsi="Arial Narrow" w:cs="Arial Narrow"/>
          <w:sz w:val="24"/>
          <w:szCs w:val="24"/>
        </w:rPr>
        <w:t>DMD.</w:t>
      </w:r>
      <w:r>
        <w:rPr>
          <w:rFonts w:ascii="Arial Narrow" w:eastAsia="Arial Narrow" w:hAnsi="Arial Narrow" w:cs="Arial Narrow"/>
          <w:sz w:val="24"/>
          <w:szCs w:val="24"/>
          <w:vertAlign w:val="superscript"/>
        </w:rPr>
        <w:t xml:space="preserve">3 </w:t>
      </w:r>
      <w:r>
        <w:rPr>
          <w:rFonts w:ascii="Arial Narrow" w:eastAsia="Arial Narrow" w:hAnsi="Arial Narrow" w:cs="Arial Narrow"/>
          <w:sz w:val="24"/>
          <w:szCs w:val="24"/>
        </w:rPr>
        <w:t xml:space="preserve"> Mutation</w:t>
      </w:r>
      <w:proofErr w:type="gramEnd"/>
      <w:r>
        <w:rPr>
          <w:rFonts w:ascii="Arial Narrow" w:eastAsia="Arial Narrow" w:hAnsi="Arial Narrow" w:cs="Arial Narrow"/>
          <w:sz w:val="24"/>
          <w:szCs w:val="24"/>
        </w:rPr>
        <w:t xml:space="preserve"> specific therapies for eligible patients have also emerge</w:t>
      </w:r>
      <w:r>
        <w:rPr>
          <w:rFonts w:ascii="Arial Narrow" w:eastAsia="Arial Narrow" w:hAnsi="Arial Narrow" w:cs="Arial Narrow"/>
          <w:sz w:val="24"/>
          <w:szCs w:val="24"/>
        </w:rPr>
        <w:t>d, allowing for better treatment and management of the disorders.  Treatments should begin as soon as possible for the affected as D</w:t>
      </w:r>
      <w:r>
        <w:rPr>
          <w:rFonts w:ascii="Arial Narrow" w:eastAsia="Arial Narrow" w:hAnsi="Arial Narrow" w:cs="Arial Narrow"/>
          <w:sz w:val="24"/>
          <w:szCs w:val="24"/>
        </w:rPr>
        <w:t xml:space="preserve">MD is a progressive disease whose effects on muscle loss are likely irreversible.  Antisense-mediated exon skipping therapies are the most promising treatments at this time.  These splice interventions can remove exons with variants </w:t>
      </w:r>
      <w:r>
        <w:rPr>
          <w:rFonts w:ascii="Arial Narrow" w:eastAsia="Arial Narrow" w:hAnsi="Arial Narrow" w:cs="Arial Narrow"/>
          <w:sz w:val="24"/>
          <w:szCs w:val="24"/>
        </w:rPr>
        <w:t>and allow dystroph</w:t>
      </w:r>
      <w:r>
        <w:rPr>
          <w:rFonts w:ascii="Arial Narrow" w:eastAsia="Arial Narrow" w:hAnsi="Arial Narrow" w:cs="Arial Narrow"/>
          <w:sz w:val="24"/>
          <w:szCs w:val="24"/>
        </w:rPr>
        <w:t>in ex</w:t>
      </w:r>
      <w:r>
        <w:rPr>
          <w:rFonts w:ascii="Arial Narrow" w:eastAsia="Arial Narrow" w:hAnsi="Arial Narrow" w:cs="Arial Narrow"/>
          <w:sz w:val="24"/>
          <w:szCs w:val="24"/>
        </w:rPr>
        <w:t>pression by editing dystrophin pre-mRNA and restoring the open reading frame.</w:t>
      </w:r>
      <w:r>
        <w:rPr>
          <w:rFonts w:ascii="Arial Narrow" w:eastAsia="Arial Narrow" w:hAnsi="Arial Narrow" w:cs="Arial Narrow"/>
          <w:sz w:val="24"/>
          <w:szCs w:val="24"/>
          <w:vertAlign w:val="superscript"/>
        </w:rPr>
        <w:t>4</w:t>
      </w:r>
      <w:proofErr w:type="gramStart"/>
      <w:r>
        <w:rPr>
          <w:rFonts w:ascii="Arial Narrow" w:eastAsia="Arial Narrow" w:hAnsi="Arial Narrow" w:cs="Arial Narrow"/>
          <w:sz w:val="24"/>
          <w:szCs w:val="24"/>
          <w:vertAlign w:val="superscript"/>
        </w:rPr>
        <w:t>,5,6</w:t>
      </w:r>
      <w:proofErr w:type="gramEnd"/>
    </w:p>
    <w:p w:rsidR="004D2385" w:rsidRDefault="004D2385">
      <w:pPr>
        <w:spacing w:after="0" w:line="240" w:lineRule="auto"/>
      </w:pPr>
    </w:p>
    <w:p w:rsidR="004D2385" w:rsidRDefault="00B760A9">
      <w:pPr>
        <w:spacing w:after="0" w:line="240" w:lineRule="auto"/>
      </w:pPr>
      <w:bookmarkStart w:id="1" w:name="_gjdgxs" w:colFirst="0" w:colLast="0"/>
      <w:bookmarkEnd w:id="1"/>
      <w:r>
        <w:rPr>
          <w:rFonts w:ascii="Arial Narrow" w:eastAsia="Arial Narrow" w:hAnsi="Arial Narrow" w:cs="Arial Narrow"/>
          <w:sz w:val="24"/>
          <w:szCs w:val="24"/>
        </w:rPr>
        <w:lastRenderedPageBreak/>
        <w:t xml:space="preserve">Research suggests that up to 80% of individuals with DMD could be eligible for these exon skipping </w:t>
      </w:r>
      <w:proofErr w:type="gramStart"/>
      <w:r>
        <w:rPr>
          <w:rFonts w:ascii="Arial Narrow" w:eastAsia="Arial Narrow" w:hAnsi="Arial Narrow" w:cs="Arial Narrow"/>
          <w:sz w:val="24"/>
          <w:szCs w:val="24"/>
        </w:rPr>
        <w:t>therapies.</w:t>
      </w:r>
      <w:r>
        <w:rPr>
          <w:rFonts w:ascii="Arial Narrow" w:eastAsia="Arial Narrow" w:hAnsi="Arial Narrow" w:cs="Arial Narrow"/>
          <w:sz w:val="24"/>
          <w:szCs w:val="24"/>
          <w:vertAlign w:val="superscript"/>
        </w:rPr>
        <w:t>4</w:t>
      </w:r>
      <w:r>
        <w:rPr>
          <w:rFonts w:ascii="Arial Narrow" w:eastAsia="Arial Narrow" w:hAnsi="Arial Narrow" w:cs="Arial Narrow"/>
          <w:sz w:val="24"/>
          <w:szCs w:val="24"/>
        </w:rPr>
        <w:t xml:space="preserve">  A</w:t>
      </w:r>
      <w:proofErr w:type="gramEnd"/>
      <w:r>
        <w:rPr>
          <w:rFonts w:ascii="Arial Narrow" w:eastAsia="Arial Narrow" w:hAnsi="Arial Narrow" w:cs="Arial Narrow"/>
          <w:sz w:val="24"/>
          <w:szCs w:val="24"/>
        </w:rPr>
        <w:t xml:space="preserve"> drug candidate designed to skip exon 51 of the </w:t>
      </w:r>
      <w:r>
        <w:rPr>
          <w:rFonts w:ascii="Arial Narrow" w:eastAsia="Arial Narrow" w:hAnsi="Arial Narrow" w:cs="Arial Narrow"/>
          <w:i/>
          <w:sz w:val="24"/>
          <w:szCs w:val="24"/>
        </w:rPr>
        <w:t>DMD</w:t>
      </w:r>
      <w:r>
        <w:rPr>
          <w:rFonts w:ascii="Arial Narrow" w:eastAsia="Arial Narrow" w:hAnsi="Arial Narrow" w:cs="Arial Narrow"/>
          <w:sz w:val="24"/>
          <w:szCs w:val="24"/>
        </w:rPr>
        <w:t xml:space="preserve"> gene wa</w:t>
      </w:r>
      <w:r>
        <w:rPr>
          <w:rFonts w:ascii="Arial Narrow" w:eastAsia="Arial Narrow" w:hAnsi="Arial Narrow" w:cs="Arial Narrow"/>
          <w:sz w:val="24"/>
          <w:szCs w:val="24"/>
        </w:rPr>
        <w:t>s just granted accelerated FDA approval on September 19, 2016.  Exon 53 and 45 skipping therapies are currently in clinical development, and many others have been discovered and are undergoing clinical trials.</w:t>
      </w:r>
      <w:r>
        <w:rPr>
          <w:rFonts w:ascii="Arial Narrow" w:eastAsia="Arial Narrow" w:hAnsi="Arial Narrow" w:cs="Arial Narrow"/>
          <w:sz w:val="24"/>
          <w:szCs w:val="24"/>
          <w:vertAlign w:val="superscript"/>
        </w:rPr>
        <w:t>7</w:t>
      </w:r>
      <w:proofErr w:type="gramStart"/>
      <w:r>
        <w:rPr>
          <w:rFonts w:ascii="Arial Narrow" w:eastAsia="Arial Narrow" w:hAnsi="Arial Narrow" w:cs="Arial Narrow"/>
          <w:sz w:val="24"/>
          <w:szCs w:val="24"/>
          <w:vertAlign w:val="superscript"/>
        </w:rPr>
        <w:t>,8</w:t>
      </w:r>
      <w:proofErr w:type="gramEnd"/>
      <w:r>
        <w:rPr>
          <w:rFonts w:ascii="Arial Narrow" w:eastAsia="Arial Narrow" w:hAnsi="Arial Narrow" w:cs="Arial Narrow"/>
          <w:sz w:val="24"/>
          <w:szCs w:val="24"/>
        </w:rPr>
        <w:t xml:space="preserve">  Based on this information, genetic testing</w:t>
      </w:r>
      <w:r>
        <w:rPr>
          <w:rFonts w:ascii="Arial Narrow" w:eastAsia="Arial Narrow" w:hAnsi="Arial Narrow" w:cs="Arial Narrow"/>
          <w:sz w:val="24"/>
          <w:szCs w:val="24"/>
        </w:rPr>
        <w:t xml:space="preserve"> is critical for the treatment of patients clinically diagnosed or suspected to have Duchenne or Becker muscular dystrophy.  The specific variant that an individual carries needs to be known in order for proper treatment and family planning to begin.  With</w:t>
      </w:r>
      <w:r>
        <w:rPr>
          <w:rFonts w:ascii="Arial Narrow" w:eastAsia="Arial Narrow" w:hAnsi="Arial Narrow" w:cs="Arial Narrow"/>
          <w:sz w:val="24"/>
          <w:szCs w:val="24"/>
        </w:rPr>
        <w:t>out this</w:t>
      </w:r>
      <w:r>
        <w:rPr>
          <w:rFonts w:ascii="Arial Narrow" w:eastAsia="Arial Narrow" w:hAnsi="Arial Narrow" w:cs="Arial Narrow"/>
          <w:sz w:val="24"/>
          <w:szCs w:val="24"/>
        </w:rPr>
        <w:t xml:space="preserve"> testing / test results, clinicians do not have the information they need to determine appropriate treatments o</w:t>
      </w:r>
      <w:r>
        <w:rPr>
          <w:rFonts w:ascii="Arial Narrow" w:eastAsia="Arial Narrow" w:hAnsi="Arial Narrow" w:cs="Arial Narrow"/>
          <w:sz w:val="24"/>
          <w:szCs w:val="24"/>
        </w:rPr>
        <w:t xml:space="preserve">r clinical trials for their patients  </w:t>
      </w:r>
    </w:p>
    <w:p w:rsidR="004D2385" w:rsidRDefault="004D2385">
      <w:pPr>
        <w:spacing w:after="0" w:line="240" w:lineRule="auto"/>
      </w:pPr>
    </w:p>
    <w:p w:rsidR="004D2385" w:rsidRDefault="00B760A9">
      <w:pPr>
        <w:spacing w:line="240" w:lineRule="auto"/>
      </w:pPr>
      <w:r>
        <w:rPr>
          <w:rFonts w:ascii="Arial Narrow" w:eastAsia="Arial Narrow" w:hAnsi="Arial Narrow" w:cs="Arial Narrow"/>
          <w:b/>
          <w:sz w:val="24"/>
          <w:szCs w:val="24"/>
          <w:u w:val="single"/>
        </w:rPr>
        <w:t>Personal History</w:t>
      </w:r>
    </w:p>
    <w:p w:rsidR="004D2385" w:rsidRDefault="00B760A9">
      <w:pPr>
        <w:spacing w:line="240" w:lineRule="auto"/>
      </w:pPr>
      <w:r>
        <w:rPr>
          <w:rFonts w:ascii="Arial Narrow" w:eastAsia="Arial Narrow" w:hAnsi="Arial Narrow" w:cs="Arial Narrow"/>
          <w:sz w:val="24"/>
          <w:szCs w:val="24"/>
        </w:rPr>
        <w:t>&lt;&lt;Personal Medical History: Include details of patient’s relevant medical histor</w:t>
      </w:r>
      <w:r>
        <w:rPr>
          <w:rFonts w:ascii="Arial Narrow" w:eastAsia="Arial Narrow" w:hAnsi="Arial Narrow" w:cs="Arial Narrow"/>
          <w:sz w:val="24"/>
          <w:szCs w:val="24"/>
        </w:rPr>
        <w:t>y&gt;&gt;</w:t>
      </w:r>
    </w:p>
    <w:p w:rsidR="004D2385" w:rsidRDefault="00B760A9">
      <w:pPr>
        <w:spacing w:line="240" w:lineRule="auto"/>
      </w:pPr>
      <w:r>
        <w:rPr>
          <w:rFonts w:ascii="Arial Narrow" w:eastAsia="Arial Narrow" w:hAnsi="Arial Narrow" w:cs="Arial Narrow"/>
          <w:b/>
          <w:sz w:val="24"/>
          <w:szCs w:val="24"/>
          <w:u w:val="single"/>
        </w:rPr>
        <w:t>Family History</w:t>
      </w:r>
    </w:p>
    <w:p w:rsidR="004D2385" w:rsidRDefault="00B760A9">
      <w:pPr>
        <w:spacing w:line="240" w:lineRule="auto"/>
      </w:pPr>
      <w:r>
        <w:rPr>
          <w:rFonts w:ascii="Arial Narrow" w:eastAsia="Arial Narrow" w:hAnsi="Arial Narrow" w:cs="Arial Narrow"/>
          <w:sz w:val="24"/>
          <w:szCs w:val="24"/>
        </w:rPr>
        <w:t>&lt;&lt;Family History: Include list of relevant family history information if applicable. Appropriate risk assessment models or limited history should be noted &gt;&gt;</w:t>
      </w:r>
    </w:p>
    <w:p w:rsidR="004D2385" w:rsidRDefault="00B760A9">
      <w:pPr>
        <w:spacing w:line="240" w:lineRule="auto"/>
      </w:pPr>
      <w:r>
        <w:rPr>
          <w:rFonts w:ascii="Arial Narrow" w:eastAsia="Arial Narrow" w:hAnsi="Arial Narrow" w:cs="Arial Narrow"/>
          <w:sz w:val="24"/>
          <w:szCs w:val="24"/>
        </w:rPr>
        <w:t xml:space="preserve">Testing of the </w:t>
      </w:r>
      <w:r>
        <w:rPr>
          <w:rFonts w:ascii="Arial Narrow" w:eastAsia="Arial Narrow" w:hAnsi="Arial Narrow" w:cs="Arial Narrow"/>
          <w:i/>
          <w:sz w:val="24"/>
          <w:szCs w:val="24"/>
        </w:rPr>
        <w:t xml:space="preserve">DMD </w:t>
      </w:r>
      <w:r>
        <w:rPr>
          <w:rFonts w:ascii="Arial Narrow" w:eastAsia="Arial Narrow" w:hAnsi="Arial Narrow" w:cs="Arial Narrow"/>
          <w:sz w:val="24"/>
          <w:szCs w:val="24"/>
        </w:rPr>
        <w:t xml:space="preserve">gene through the </w:t>
      </w:r>
      <w:r>
        <w:rPr>
          <w:rFonts w:ascii="Arial Narrow" w:eastAsia="Arial Narrow" w:hAnsi="Arial Narrow" w:cs="Arial Narrow"/>
          <w:i/>
          <w:sz w:val="24"/>
          <w:szCs w:val="24"/>
        </w:rPr>
        <w:t>DMD</w:t>
      </w:r>
      <w:r>
        <w:rPr>
          <w:rFonts w:ascii="Arial Narrow" w:eastAsia="Arial Narrow" w:hAnsi="Arial Narrow" w:cs="Arial Narrow"/>
          <w:sz w:val="24"/>
          <w:szCs w:val="24"/>
        </w:rPr>
        <w:t xml:space="preserve"> Deletion/Duplication panel (#1200), wit</w:t>
      </w:r>
      <w:r>
        <w:rPr>
          <w:rFonts w:ascii="Arial Narrow" w:eastAsia="Arial Narrow" w:hAnsi="Arial Narrow" w:cs="Arial Narrow"/>
          <w:sz w:val="24"/>
          <w:szCs w:val="24"/>
        </w:rPr>
        <w:t xml:space="preserve">h reflex to the </w:t>
      </w:r>
      <w:r>
        <w:rPr>
          <w:rFonts w:ascii="Arial Narrow" w:eastAsia="Arial Narrow" w:hAnsi="Arial Narrow" w:cs="Arial Narrow"/>
          <w:i/>
          <w:sz w:val="24"/>
          <w:szCs w:val="24"/>
        </w:rPr>
        <w:t xml:space="preserve">DMD </w:t>
      </w:r>
      <w:r>
        <w:rPr>
          <w:rFonts w:ascii="Arial Narrow" w:eastAsia="Arial Narrow" w:hAnsi="Arial Narrow" w:cs="Arial Narrow"/>
          <w:sz w:val="24"/>
          <w:szCs w:val="24"/>
        </w:rPr>
        <w:t xml:space="preserve">NextGen Sequencing panel (#1773) in event a pathogenic variant is not identified via deletion/duplication, will allow for delineation of appropriate management guidelines for this patient and his/her family members. </w:t>
      </w:r>
    </w:p>
    <w:p w:rsidR="004D2385" w:rsidRDefault="00B760A9">
      <w:pPr>
        <w:spacing w:after="0" w:line="240" w:lineRule="auto"/>
        <w:jc w:val="both"/>
      </w:pPr>
      <w:r>
        <w:rPr>
          <w:rFonts w:ascii="Arial Narrow" w:eastAsia="Arial Narrow" w:hAnsi="Arial Narrow" w:cs="Arial Narrow"/>
          <w:sz w:val="24"/>
          <w:szCs w:val="24"/>
        </w:rPr>
        <w:t>The laboratory prov</w:t>
      </w:r>
      <w:r>
        <w:rPr>
          <w:rFonts w:ascii="Arial Narrow" w:eastAsia="Arial Narrow" w:hAnsi="Arial Narrow" w:cs="Arial Narrow"/>
          <w:sz w:val="24"/>
          <w:szCs w:val="24"/>
        </w:rPr>
        <w:t>iding the genetic testing is PreventionGenetics, LLC, (Tax ID: 83 0343803) who is a sponsor of Pediatric Lab Utilization Guidance Services (</w:t>
      </w:r>
      <w:hyperlink r:id="rId6">
        <w:r>
          <w:rPr>
            <w:rFonts w:ascii="Arial Narrow" w:eastAsia="Arial Narrow" w:hAnsi="Arial Narrow" w:cs="Arial Narrow"/>
            <w:sz w:val="24"/>
            <w:szCs w:val="24"/>
            <w:u w:val="single"/>
          </w:rPr>
          <w:t>PLUGS</w:t>
        </w:r>
      </w:hyperlink>
      <w:hyperlink r:id="rId7">
        <w:r>
          <w:rPr>
            <w:rFonts w:ascii="Arial Narrow" w:eastAsia="Arial Narrow" w:hAnsi="Arial Narrow" w:cs="Arial Narrow"/>
            <w:sz w:val="24"/>
            <w:szCs w:val="24"/>
            <w:highlight w:val="white"/>
            <w:u w:val="single"/>
          </w:rPr>
          <w:t>®</w:t>
        </w:r>
      </w:hyperlink>
      <w:r>
        <w:rPr>
          <w:rFonts w:ascii="Arial Narrow" w:eastAsia="Arial Narrow" w:hAnsi="Arial Narrow" w:cs="Arial Narrow"/>
          <w:sz w:val="24"/>
          <w:szCs w:val="24"/>
        </w:rPr>
        <w:t>).  PreventionGenetics is committed to providing comprehensive, high quality, and affordable genetic testing that adds value to patient care.  Through utilization management strategies at PreventionGenetics, over 1.3 million healthcare dollars are saved an</w:t>
      </w:r>
      <w:r>
        <w:rPr>
          <w:rFonts w:ascii="Arial Narrow" w:eastAsia="Arial Narrow" w:hAnsi="Arial Narrow" w:cs="Arial Narrow"/>
          <w:sz w:val="24"/>
          <w:szCs w:val="24"/>
        </w:rPr>
        <w:t>nually. PreventionGenetics is also certified by the College of American Pathologists (CAP# 7185561), the Clinical Laboratory Improvement Amendments (CLIA ID# 52D2065132), and is an Internationally-Recognized Accredited Laboratory (ISO 15189#: 3950.01).</w:t>
      </w:r>
    </w:p>
    <w:p w:rsidR="004D2385" w:rsidRDefault="004D2385">
      <w:pPr>
        <w:spacing w:after="0" w:line="240" w:lineRule="auto"/>
      </w:pPr>
    </w:p>
    <w:p w:rsidR="004D2385" w:rsidRDefault="00B760A9">
      <w:pPr>
        <w:spacing w:line="240" w:lineRule="auto"/>
      </w:pPr>
      <w:r>
        <w:rPr>
          <w:rFonts w:ascii="Arial Narrow" w:eastAsia="Arial Narrow" w:hAnsi="Arial Narrow" w:cs="Arial Narrow"/>
          <w:sz w:val="24"/>
          <w:szCs w:val="24"/>
        </w:rPr>
        <w:t xml:space="preserve">I am hopeful that we can work together for &lt;&lt;Mr/Mrs/Ms/Miss patient’s last </w:t>
      </w:r>
      <w:proofErr w:type="gramStart"/>
      <w:r>
        <w:rPr>
          <w:rFonts w:ascii="Arial Narrow" w:eastAsia="Arial Narrow" w:hAnsi="Arial Narrow" w:cs="Arial Narrow"/>
          <w:sz w:val="24"/>
          <w:szCs w:val="24"/>
        </w:rPr>
        <w:t>name’s</w:t>
      </w:r>
      <w:proofErr w:type="gramEnd"/>
      <w:r>
        <w:rPr>
          <w:rFonts w:ascii="Arial Narrow" w:eastAsia="Arial Narrow" w:hAnsi="Arial Narrow" w:cs="Arial Narrow"/>
          <w:sz w:val="24"/>
          <w:szCs w:val="24"/>
        </w:rPr>
        <w:t>&gt;&gt; benefit.  Please contact me at &lt;&lt;Phone #&gt;&gt; with the result of this prior authorization and/or if you need additional information.</w:t>
      </w:r>
    </w:p>
    <w:p w:rsidR="004D2385" w:rsidRDefault="00B760A9">
      <w:pPr>
        <w:spacing w:line="240" w:lineRule="auto"/>
      </w:pPr>
      <w:r>
        <w:rPr>
          <w:rFonts w:ascii="Arial Narrow" w:eastAsia="Arial Narrow" w:hAnsi="Arial Narrow" w:cs="Arial Narrow"/>
          <w:sz w:val="24"/>
          <w:szCs w:val="24"/>
        </w:rPr>
        <w:t>Sincerely,</w:t>
      </w:r>
    </w:p>
    <w:p w:rsidR="004D2385" w:rsidRDefault="00B760A9">
      <w:pPr>
        <w:spacing w:line="240" w:lineRule="auto"/>
      </w:pPr>
      <w:r>
        <w:rPr>
          <w:rFonts w:ascii="Arial Narrow" w:eastAsia="Arial Narrow" w:hAnsi="Arial Narrow" w:cs="Arial Narrow"/>
          <w:sz w:val="24"/>
          <w:szCs w:val="24"/>
        </w:rPr>
        <w:t>&lt;&lt;Name, credentials&gt;&gt;</w:t>
      </w:r>
    </w:p>
    <w:p w:rsidR="004D2385" w:rsidRDefault="00B760A9">
      <w:pPr>
        <w:spacing w:line="240" w:lineRule="auto"/>
      </w:pPr>
      <w:r>
        <w:rPr>
          <w:rFonts w:ascii="Arial Narrow" w:eastAsia="Arial Narrow" w:hAnsi="Arial Narrow" w:cs="Arial Narrow"/>
          <w:sz w:val="24"/>
          <w:szCs w:val="24"/>
        </w:rPr>
        <w:t>&lt;&lt;Title&gt;&gt;</w:t>
      </w:r>
    </w:p>
    <w:p w:rsidR="004D2385" w:rsidRDefault="00B760A9">
      <w:pPr>
        <w:spacing w:line="240" w:lineRule="auto"/>
      </w:pPr>
      <w:r>
        <w:rPr>
          <w:rFonts w:ascii="Arial Narrow" w:eastAsia="Arial Narrow" w:hAnsi="Arial Narrow" w:cs="Arial Narrow"/>
          <w:sz w:val="24"/>
          <w:szCs w:val="24"/>
        </w:rPr>
        <w:t>&lt;&lt;Institution&gt;&gt;</w:t>
      </w:r>
    </w:p>
    <w:p w:rsidR="004D2385" w:rsidRDefault="004D2385">
      <w:pPr>
        <w:spacing w:line="240" w:lineRule="auto"/>
      </w:pPr>
    </w:p>
    <w:p w:rsidR="004D2385" w:rsidRDefault="00B760A9">
      <w:pPr>
        <w:spacing w:line="240" w:lineRule="auto"/>
      </w:pPr>
      <w:r>
        <w:rPr>
          <w:rFonts w:ascii="Arial Narrow" w:eastAsia="Arial Narrow" w:hAnsi="Arial Narrow" w:cs="Arial Narrow"/>
          <w:sz w:val="24"/>
          <w:szCs w:val="24"/>
        </w:rPr>
        <w:t>References:</w:t>
      </w:r>
    </w:p>
    <w:p w:rsidR="004D2385" w:rsidRDefault="00B760A9">
      <w:pPr>
        <w:numPr>
          <w:ilvl w:val="0"/>
          <w:numId w:val="1"/>
        </w:numPr>
        <w:spacing w:after="0"/>
        <w:ind w:hanging="360"/>
        <w:contextualSpacing/>
      </w:pPr>
      <w:r>
        <w:t>Hoffman EP, Fischbeck KH, Brown RH, Johnson M, Medori R, Loike JD, Harris JB, Waterston R, Brooke M, Specht L. Characterization of dystrophin in muscle-biopsy specimens from patients with Duchenne’s or Becker’s muscular dystro</w:t>
      </w:r>
      <w:r>
        <w:t xml:space="preserve">phy. </w:t>
      </w:r>
      <w:r>
        <w:rPr>
          <w:i/>
        </w:rPr>
        <w:t>N. Engl. J. Med</w:t>
      </w:r>
      <w:r>
        <w:t>. 1988 May; 318(21):1363–1368. PubMed ID: 3285207.</w:t>
      </w:r>
    </w:p>
    <w:p w:rsidR="004D2385" w:rsidRDefault="00B760A9">
      <w:pPr>
        <w:numPr>
          <w:ilvl w:val="0"/>
          <w:numId w:val="1"/>
        </w:numPr>
        <w:spacing w:after="0"/>
        <w:ind w:hanging="360"/>
        <w:contextualSpacing/>
      </w:pPr>
      <w:r>
        <w:lastRenderedPageBreak/>
        <w:t xml:space="preserve">Monaco AP, Bertelson CJ, Liechti-Gallati S, Moser H, Kunkel LM. An explanation for the phenotypic differences between patients bearing partial deletions of the DMD locus. </w:t>
      </w:r>
      <w:r>
        <w:rPr>
          <w:i/>
        </w:rPr>
        <w:t>Genomics</w:t>
      </w:r>
      <w:r>
        <w:t>.  198</w:t>
      </w:r>
      <w:r>
        <w:t>8 Jan; 2(1): 90–95. PubMed ID: 3384440.</w:t>
      </w:r>
    </w:p>
    <w:p w:rsidR="004D2385" w:rsidRDefault="00B760A9">
      <w:pPr>
        <w:numPr>
          <w:ilvl w:val="0"/>
          <w:numId w:val="1"/>
        </w:numPr>
        <w:spacing w:after="0"/>
        <w:ind w:hanging="360"/>
        <w:contextualSpacing/>
      </w:pPr>
      <w:r>
        <w:t xml:space="preserve">Bakker E, Van BC, Bonten EJ, van de Vooren MJ, Veenema H, Van HW, van Ommen GJ, Vandenberghe A, Pearson PL. Germline mosaicism and Duchenne muscular dystrophy mutations. </w:t>
      </w:r>
      <w:proofErr w:type="gramStart"/>
      <w:r>
        <w:rPr>
          <w:i/>
        </w:rPr>
        <w:t>Nature</w:t>
      </w:r>
      <w:r>
        <w:t xml:space="preserve"> .</w:t>
      </w:r>
      <w:proofErr w:type="gramEnd"/>
      <w:r>
        <w:t xml:space="preserve">  1987 Oct; 329(6139):554–556.  PubMed</w:t>
      </w:r>
      <w:r>
        <w:t xml:space="preserve"> ID: 2889144.</w:t>
      </w:r>
    </w:p>
    <w:p w:rsidR="004D2385" w:rsidRDefault="00B760A9">
      <w:pPr>
        <w:numPr>
          <w:ilvl w:val="0"/>
          <w:numId w:val="1"/>
        </w:numPr>
        <w:spacing w:after="0"/>
        <w:ind w:hanging="360"/>
        <w:contextualSpacing/>
      </w:pPr>
      <w:r>
        <w:t xml:space="preserve">Aartsma-Rus A, Fokkema I, Verschuuren J, Ginjaar I, van Deutekom J, van Ommen GJ, den Dunnen JT.  Theoretic applicability of antisense-mediated exon skipping for Duchenne muscular dystrophy mutations.  </w:t>
      </w:r>
      <w:r>
        <w:rPr>
          <w:i/>
        </w:rPr>
        <w:t>Hum Mutat</w:t>
      </w:r>
      <w:r>
        <w:t>. 2009 Mar; 30(3):293-299.  Pub</w:t>
      </w:r>
      <w:r>
        <w:t>Med ID: 19156838.</w:t>
      </w:r>
    </w:p>
    <w:p w:rsidR="004D2385" w:rsidRDefault="00B760A9">
      <w:pPr>
        <w:numPr>
          <w:ilvl w:val="0"/>
          <w:numId w:val="1"/>
        </w:numPr>
        <w:spacing w:after="0"/>
        <w:ind w:hanging="360"/>
        <w:contextualSpacing/>
      </w:pPr>
      <w:r>
        <w:t>Fletcher, Sue, Abbie M. Adams, Russell D. Johnsen, Kane Greer, Hong M. Moulton, and Steve D. Wilton. Dystrophin Isoform Induction </w:t>
      </w:r>
      <w:proofErr w:type="gramStart"/>
      <w:r>
        <w:rPr>
          <w:i/>
        </w:rPr>
        <w:t>In</w:t>
      </w:r>
      <w:proofErr w:type="gramEnd"/>
      <w:r>
        <w:rPr>
          <w:i/>
        </w:rPr>
        <w:t xml:space="preserve"> Vivo</w:t>
      </w:r>
      <w:r>
        <w:t> by Antisense-mediated Alternative Splicing.  </w:t>
      </w:r>
      <w:r>
        <w:rPr>
          <w:i/>
        </w:rPr>
        <w:t>Molecular Therapy.</w:t>
      </w:r>
      <w:r>
        <w:t xml:space="preserve"> 2010 Jun; 18(6):1218-1223. PubMed ID</w:t>
      </w:r>
      <w:r>
        <w:t>: 20332768.</w:t>
      </w:r>
    </w:p>
    <w:p w:rsidR="004D2385" w:rsidRDefault="00B760A9">
      <w:pPr>
        <w:numPr>
          <w:ilvl w:val="0"/>
          <w:numId w:val="1"/>
        </w:numPr>
        <w:spacing w:after="0"/>
        <w:ind w:hanging="360"/>
        <w:contextualSpacing/>
      </w:pPr>
      <w:r>
        <w:t xml:space="preserve"> Anthony, Karen; Virginia Arechavala-Gomeza; Valeria Ricotti; et al.  DMD Deletions Pertinent to Exon 44 or 45 Skipping. </w:t>
      </w:r>
      <w:r>
        <w:rPr>
          <w:i/>
        </w:rPr>
        <w:t xml:space="preserve"> JAMA Neurol.  </w:t>
      </w:r>
      <w:r>
        <w:t>2014 Jan; 71(1):32-40. PubMed ID: 24217213.</w:t>
      </w:r>
    </w:p>
    <w:p w:rsidR="004D2385" w:rsidRDefault="00B760A9">
      <w:pPr>
        <w:numPr>
          <w:ilvl w:val="0"/>
          <w:numId w:val="1"/>
        </w:numPr>
        <w:spacing w:after="0"/>
        <w:ind w:hanging="360"/>
        <w:contextualSpacing/>
      </w:pPr>
      <w:r>
        <w:t>Sarepta Therapeutics.  Exon-Skipping for Duchenne.  &lt;https://www</w:t>
      </w:r>
      <w:r>
        <w:t>.sarepta.com/pipeline/exon-skipping-duchenne&gt; 11 Oct. 2016.</w:t>
      </w:r>
    </w:p>
    <w:p w:rsidR="004D2385" w:rsidRDefault="00B760A9">
      <w:pPr>
        <w:numPr>
          <w:ilvl w:val="0"/>
          <w:numId w:val="1"/>
        </w:numPr>
        <w:ind w:hanging="360"/>
        <w:contextualSpacing/>
      </w:pPr>
      <w:r>
        <w:t>Muscular Dystrophy Association. Eteplirsen Granted Accelerated Approval!</w:t>
      </w:r>
      <w:r>
        <w:rPr>
          <w:i/>
        </w:rPr>
        <w:t xml:space="preserve"> </w:t>
      </w:r>
      <w:r>
        <w:t xml:space="preserve"> 19 Sept. 2016. &lt;https://www.mda.org/eteplirsen&gt; 11 Oct. 2016.</w:t>
      </w:r>
    </w:p>
    <w:sectPr w:rsidR="004D23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F56"/>
    <w:multiLevelType w:val="multilevel"/>
    <w:tmpl w:val="2F9E4F96"/>
    <w:lvl w:ilvl="0">
      <w:start w:val="1"/>
      <w:numFmt w:val="decimal"/>
      <w:lvlText w:val="%1."/>
      <w:lvlJc w:val="left"/>
      <w:pPr>
        <w:ind w:left="360" w:firstLine="0"/>
      </w:pPr>
    </w:lvl>
    <w:lvl w:ilvl="1">
      <w:start w:val="1"/>
      <w:numFmt w:val="decimal"/>
      <w:lvlText w:val="%2."/>
      <w:lvlJc w:val="left"/>
      <w:pPr>
        <w:ind w:left="36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4D2385"/>
    <w:rsid w:val="004D2385"/>
    <w:rsid w:val="00B7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attlechildrenslab.org/plu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childrenslab.org/plug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Reed</dc:creator>
  <cp:lastModifiedBy>Rachel Reed</cp:lastModifiedBy>
  <cp:revision>2</cp:revision>
  <dcterms:created xsi:type="dcterms:W3CDTF">2019-01-10T19:55:00Z</dcterms:created>
  <dcterms:modified xsi:type="dcterms:W3CDTF">2019-01-10T19:55:00Z</dcterms:modified>
</cp:coreProperties>
</file>