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21" w:rsidRPr="00F200D1" w:rsidRDefault="00DC0E21" w:rsidP="00DC0E21">
      <w:pPr>
        <w:spacing w:line="240" w:lineRule="auto"/>
        <w:jc w:val="center"/>
        <w:rPr>
          <w:rFonts w:ascii="Times New Roman" w:eastAsia="Times New Roman" w:hAnsi="Times New Roman" w:cs="Times New Roman"/>
          <w:sz w:val="24"/>
          <w:szCs w:val="24"/>
        </w:rPr>
      </w:pPr>
      <w:bookmarkStart w:id="0" w:name="_GoBack"/>
      <w:bookmarkEnd w:id="0"/>
      <w:r w:rsidRPr="00F200D1">
        <w:rPr>
          <w:rFonts w:ascii="Arial Narrow" w:eastAsia="Times New Roman" w:hAnsi="Arial Narrow" w:cs="Times New Roman"/>
          <w:color w:val="000000"/>
          <w:sz w:val="28"/>
          <w:szCs w:val="28"/>
        </w:rPr>
        <w:t xml:space="preserve">Letter of </w:t>
      </w:r>
      <w:r>
        <w:rPr>
          <w:rFonts w:ascii="Arial Narrow" w:eastAsia="Times New Roman" w:hAnsi="Arial Narrow" w:cs="Times New Roman"/>
          <w:color w:val="000000"/>
          <w:sz w:val="28"/>
          <w:szCs w:val="28"/>
        </w:rPr>
        <w:t>Medical Necessity Test Code 2000</w:t>
      </w:r>
    </w:p>
    <w:p w:rsidR="00DC0E21" w:rsidRPr="00F200D1" w:rsidRDefault="00DC0E21" w:rsidP="00DC0E21">
      <w:pPr>
        <w:spacing w:after="0" w:line="240" w:lineRule="auto"/>
        <w:rPr>
          <w:rFonts w:ascii="Times New Roman" w:eastAsia="Times New Roman" w:hAnsi="Times New Roman" w:cs="Times New Roman"/>
          <w:sz w:val="24"/>
          <w:szCs w:val="24"/>
        </w:rPr>
      </w:pPr>
    </w:p>
    <w:p w:rsidR="00DC0E21" w:rsidRPr="00F200D1" w:rsidRDefault="00DC0E21" w:rsidP="00DC0E21">
      <w:pPr>
        <w:spacing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&lt;&lt;Today’s Date&gt;&gt;</w:t>
      </w:r>
    </w:p>
    <w:p w:rsidR="00DC0E21" w:rsidRPr="00F200D1" w:rsidRDefault="00DC0E21" w:rsidP="00DC0E21">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&lt;&lt;Insurance Company Name&gt;&gt;</w:t>
      </w:r>
    </w:p>
    <w:p w:rsidR="00DC0E21" w:rsidRPr="00F200D1" w:rsidRDefault="00DC0E21" w:rsidP="00DC0E21">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&lt;&lt;Address 1&gt;&gt;</w:t>
      </w:r>
    </w:p>
    <w:p w:rsidR="00DC0E21" w:rsidRPr="00F200D1" w:rsidRDefault="00DC0E21" w:rsidP="00DC0E21">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&lt;&lt;Address 2&gt;&gt;</w:t>
      </w:r>
    </w:p>
    <w:p w:rsidR="00DC0E21" w:rsidRPr="00F200D1" w:rsidRDefault="00DC0E21" w:rsidP="00DC0E21">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&lt;&lt;City, State ZIP&gt;&gt;</w:t>
      </w:r>
    </w:p>
    <w:p w:rsidR="00DC0E21" w:rsidRDefault="00DC0E21" w:rsidP="00DC0E21">
      <w:pPr>
        <w:spacing w:after="0"/>
        <w:rPr>
          <w:rFonts w:ascii="Times New Roman" w:hAnsi="Times New Roman" w:cs="Times New Roman"/>
          <w:sz w:val="24"/>
          <w:szCs w:val="28"/>
        </w:rPr>
      </w:pPr>
    </w:p>
    <w:p w:rsidR="00DC0E21" w:rsidRDefault="00DC0E21" w:rsidP="00DC0E21">
      <w:pPr>
        <w:spacing w:after="0"/>
        <w:rPr>
          <w:rFonts w:ascii="Arial Narrow" w:hAnsi="Arial Narrow" w:cs="Times New Roman"/>
          <w:sz w:val="24"/>
          <w:szCs w:val="28"/>
        </w:rPr>
      </w:pPr>
      <w:r w:rsidRPr="00111CFA">
        <w:rPr>
          <w:rFonts w:ascii="Arial Narrow" w:hAnsi="Arial Narrow" w:cs="Times New Roman"/>
          <w:b/>
          <w:sz w:val="24"/>
          <w:szCs w:val="28"/>
        </w:rPr>
        <w:t>Regarding:</w:t>
      </w:r>
      <w:r>
        <w:rPr>
          <w:rFonts w:ascii="Arial Narrow" w:hAnsi="Arial Narrow" w:cs="Times New Roman"/>
          <w:sz w:val="24"/>
          <w:szCs w:val="28"/>
        </w:rPr>
        <w:t xml:space="preserve"> &lt;&lt;Patient full name&gt;&gt;</w:t>
      </w:r>
    </w:p>
    <w:p w:rsidR="00DC0E21" w:rsidRDefault="00DC0E21" w:rsidP="00DC0E21">
      <w:pPr>
        <w:spacing w:after="0"/>
        <w:rPr>
          <w:rFonts w:ascii="Arial Narrow" w:hAnsi="Arial Narrow" w:cs="Times New Roman"/>
          <w:sz w:val="24"/>
          <w:szCs w:val="28"/>
        </w:rPr>
      </w:pPr>
      <w:r w:rsidRPr="00111CFA">
        <w:rPr>
          <w:rFonts w:ascii="Arial Narrow" w:hAnsi="Arial Narrow" w:cs="Times New Roman"/>
          <w:b/>
          <w:sz w:val="24"/>
          <w:szCs w:val="28"/>
        </w:rPr>
        <w:t>DOB:</w:t>
      </w:r>
      <w:r>
        <w:rPr>
          <w:rFonts w:ascii="Arial Narrow" w:hAnsi="Arial Narrow" w:cs="Times New Roman"/>
          <w:sz w:val="24"/>
          <w:szCs w:val="28"/>
        </w:rPr>
        <w:t xml:space="preserve"> &lt;&lt;MM/DD/YYYY&gt;&gt;</w:t>
      </w:r>
    </w:p>
    <w:p w:rsidR="00DC0E21" w:rsidRDefault="00DC0E21" w:rsidP="00DC0E21">
      <w:pPr>
        <w:spacing w:after="0"/>
        <w:rPr>
          <w:rFonts w:ascii="Arial Narrow" w:hAnsi="Arial Narrow" w:cs="Times New Roman"/>
          <w:sz w:val="24"/>
          <w:szCs w:val="28"/>
        </w:rPr>
      </w:pPr>
      <w:r w:rsidRPr="00111CFA">
        <w:rPr>
          <w:rFonts w:ascii="Arial Narrow" w:hAnsi="Arial Narrow" w:cs="Times New Roman"/>
          <w:b/>
          <w:sz w:val="24"/>
          <w:szCs w:val="28"/>
        </w:rPr>
        <w:t xml:space="preserve">Subscriber ID: </w:t>
      </w:r>
      <w:r>
        <w:rPr>
          <w:rFonts w:ascii="Arial Narrow" w:hAnsi="Arial Narrow" w:cs="Times New Roman"/>
          <w:sz w:val="24"/>
          <w:szCs w:val="28"/>
        </w:rPr>
        <w:t>&lt;&lt;Member ID#&gt;&gt;</w:t>
      </w:r>
    </w:p>
    <w:p w:rsidR="00DC0E21" w:rsidRDefault="00DC0E21" w:rsidP="00DC0E21">
      <w:pPr>
        <w:spacing w:after="0"/>
        <w:rPr>
          <w:rFonts w:ascii="Arial Narrow" w:hAnsi="Arial Narrow" w:cs="Times New Roman"/>
          <w:sz w:val="24"/>
          <w:szCs w:val="28"/>
        </w:rPr>
      </w:pPr>
      <w:r w:rsidRPr="00111CFA">
        <w:rPr>
          <w:rFonts w:ascii="Arial Narrow" w:hAnsi="Arial Narrow" w:cs="Times New Roman"/>
          <w:b/>
          <w:sz w:val="24"/>
          <w:szCs w:val="28"/>
        </w:rPr>
        <w:t>Group ID:</w:t>
      </w:r>
      <w:r>
        <w:rPr>
          <w:rFonts w:ascii="Arial Narrow" w:hAnsi="Arial Narrow" w:cs="Times New Roman"/>
          <w:sz w:val="24"/>
          <w:szCs w:val="28"/>
        </w:rPr>
        <w:t xml:space="preserve"> &lt;&lt;Group ID#&gt;&gt;</w:t>
      </w:r>
    </w:p>
    <w:p w:rsidR="00DC0E21" w:rsidRDefault="00DC0E21" w:rsidP="00DC0E21">
      <w:pPr>
        <w:spacing w:after="0"/>
        <w:rPr>
          <w:rFonts w:ascii="Times New Roman" w:hAnsi="Times New Roman" w:cs="Times New Roman"/>
          <w:sz w:val="24"/>
          <w:szCs w:val="28"/>
        </w:rPr>
      </w:pPr>
    </w:p>
    <w:p w:rsidR="00DC0E21" w:rsidRDefault="00DC0E21" w:rsidP="00DC0E21">
      <w:pPr>
        <w:spacing w:after="0"/>
        <w:rPr>
          <w:rFonts w:ascii="Arial Narrow" w:hAnsi="Arial Narrow" w:cs="Times New Roman"/>
          <w:sz w:val="24"/>
          <w:szCs w:val="28"/>
        </w:rPr>
      </w:pPr>
      <w:r w:rsidRPr="00111CFA">
        <w:rPr>
          <w:rFonts w:ascii="Arial Narrow" w:hAnsi="Arial Narrow" w:cs="Times New Roman"/>
          <w:b/>
          <w:sz w:val="24"/>
          <w:szCs w:val="28"/>
          <w:u w:val="single"/>
        </w:rPr>
        <w:t>Re:</w:t>
      </w:r>
      <w:r>
        <w:rPr>
          <w:rFonts w:ascii="Arial Narrow" w:hAnsi="Arial Narrow" w:cs="Times New Roman"/>
          <w:sz w:val="24"/>
          <w:szCs w:val="28"/>
        </w:rPr>
        <w:t xml:space="preserve"> Request for prior authorization coverage for PreventionGenetics’ Whole-Genome Chromosomal Microarray. Billing is through &lt;&lt;billing institution&gt;&gt; with testing performed at PreventionGenetics, LLC. CPT codes for PreventionGenetics test code #2000 include: 81229. The ICD 10 code(s) associated with the patient’s diagnosis include &lt;&lt;ICD code(s)&gt;&gt;.</w:t>
      </w:r>
    </w:p>
    <w:p w:rsidR="00DC0E21" w:rsidRPr="00603CCB" w:rsidRDefault="00DC0E21" w:rsidP="00DC0E21">
      <w:pPr>
        <w:spacing w:after="0"/>
        <w:rPr>
          <w:rFonts w:ascii="Times New Roman" w:hAnsi="Times New Roman" w:cs="Times New Roman"/>
          <w:sz w:val="24"/>
          <w:szCs w:val="28"/>
        </w:rPr>
      </w:pPr>
    </w:p>
    <w:p w:rsidR="00DC0E21" w:rsidRDefault="00E43DBE" w:rsidP="00DC0E21">
      <w:pPr>
        <w:spacing w:after="0"/>
        <w:rPr>
          <w:rFonts w:ascii="Arial Narrow" w:hAnsi="Arial Narrow" w:cs="Times New Roman"/>
          <w:b/>
          <w:sz w:val="24"/>
          <w:szCs w:val="28"/>
          <w:u w:val="single"/>
        </w:rPr>
      </w:pPr>
      <w:r>
        <w:rPr>
          <w:rFonts w:ascii="Arial Narrow" w:hAnsi="Arial Narrow" w:cs="Times New Roman"/>
          <w:b/>
          <w:sz w:val="24"/>
          <w:szCs w:val="28"/>
          <w:u w:val="single"/>
        </w:rPr>
        <w:t xml:space="preserve">Rationale for </w:t>
      </w:r>
      <w:r w:rsidR="00DC0E21">
        <w:rPr>
          <w:rFonts w:ascii="Arial Narrow" w:hAnsi="Arial Narrow" w:cs="Times New Roman"/>
          <w:b/>
          <w:sz w:val="24"/>
          <w:szCs w:val="28"/>
          <w:u w:val="single"/>
        </w:rPr>
        <w:t>Whole-Genome Chromosomal Microarray</w:t>
      </w:r>
      <w:r>
        <w:rPr>
          <w:rFonts w:ascii="Arial Narrow" w:hAnsi="Arial Narrow" w:cs="Times New Roman"/>
          <w:b/>
          <w:sz w:val="24"/>
          <w:szCs w:val="28"/>
          <w:u w:val="single"/>
        </w:rPr>
        <w:t xml:space="preserve"> Analysis (CMA)</w:t>
      </w:r>
    </w:p>
    <w:p w:rsidR="00DC0E21" w:rsidRDefault="00DC0E21" w:rsidP="00DC0E21">
      <w:pPr>
        <w:spacing w:after="0"/>
        <w:rPr>
          <w:rFonts w:ascii="Arial Narrow" w:hAnsi="Arial Narrow" w:cs="Times New Roman"/>
          <w:b/>
          <w:sz w:val="24"/>
          <w:szCs w:val="28"/>
          <w:u w:val="single"/>
        </w:rPr>
      </w:pPr>
    </w:p>
    <w:p w:rsidR="00AA11A7" w:rsidRDefault="00E43DBE" w:rsidP="00DC0E21">
      <w:pPr>
        <w:spacing w:after="0"/>
        <w:rPr>
          <w:rFonts w:ascii="Arial Narrow" w:hAnsi="Arial Narrow" w:cs="Times New Roman"/>
          <w:sz w:val="24"/>
          <w:szCs w:val="28"/>
        </w:rPr>
      </w:pPr>
      <w:r w:rsidRPr="00E43DBE">
        <w:rPr>
          <w:rFonts w:ascii="Arial Narrow" w:hAnsi="Arial Narrow" w:cs="Times New Roman"/>
          <w:sz w:val="24"/>
          <w:szCs w:val="28"/>
        </w:rPr>
        <w:t xml:space="preserve">Chromosomal Microarray </w:t>
      </w:r>
      <w:r>
        <w:rPr>
          <w:rFonts w:ascii="Arial Narrow" w:hAnsi="Arial Narrow" w:cs="Times New Roman"/>
          <w:sz w:val="24"/>
          <w:szCs w:val="28"/>
        </w:rPr>
        <w:t xml:space="preserve">Analysis </w:t>
      </w:r>
      <w:r w:rsidRPr="00E43DBE">
        <w:rPr>
          <w:rFonts w:ascii="Arial Narrow" w:hAnsi="Arial Narrow" w:cs="Times New Roman"/>
          <w:sz w:val="24"/>
          <w:szCs w:val="28"/>
        </w:rPr>
        <w:t>is designed to detect microdeletions and duplications of DNA segments</w:t>
      </w:r>
      <w:r w:rsidR="00034343">
        <w:rPr>
          <w:rFonts w:ascii="Arial Narrow" w:hAnsi="Arial Narrow" w:cs="Times New Roman"/>
          <w:sz w:val="24"/>
          <w:szCs w:val="28"/>
        </w:rPr>
        <w:t xml:space="preserve"> </w:t>
      </w:r>
      <w:r w:rsidR="00751FA9">
        <w:rPr>
          <w:rFonts w:ascii="Arial Narrow" w:hAnsi="Arial Narrow" w:cs="Times New Roman"/>
          <w:sz w:val="24"/>
          <w:szCs w:val="28"/>
        </w:rPr>
        <w:t>as small as</w:t>
      </w:r>
      <w:r w:rsidR="00034343">
        <w:rPr>
          <w:rFonts w:ascii="Arial Narrow" w:hAnsi="Arial Narrow" w:cs="Times New Roman"/>
          <w:sz w:val="24"/>
          <w:szCs w:val="28"/>
        </w:rPr>
        <w:t xml:space="preserve"> 500 bp </w:t>
      </w:r>
      <w:r w:rsidR="00751FA9">
        <w:rPr>
          <w:rFonts w:ascii="Arial Narrow" w:hAnsi="Arial Narrow" w:cs="Times New Roman"/>
          <w:sz w:val="24"/>
          <w:szCs w:val="28"/>
        </w:rPr>
        <w:t>to</w:t>
      </w:r>
      <w:r w:rsidR="00034343">
        <w:rPr>
          <w:rFonts w:ascii="Arial Narrow" w:hAnsi="Arial Narrow" w:cs="Times New Roman"/>
          <w:sz w:val="24"/>
          <w:szCs w:val="28"/>
        </w:rPr>
        <w:t xml:space="preserve"> 30 kb</w:t>
      </w:r>
      <w:r w:rsidR="00751FA9">
        <w:rPr>
          <w:rFonts w:ascii="Arial Narrow" w:hAnsi="Arial Narrow" w:cs="Times New Roman"/>
          <w:sz w:val="24"/>
          <w:szCs w:val="28"/>
        </w:rPr>
        <w:t xml:space="preserve"> and larger</w:t>
      </w:r>
      <w:r w:rsidRPr="00E43DBE">
        <w:rPr>
          <w:rFonts w:ascii="Arial Narrow" w:hAnsi="Arial Narrow" w:cs="Times New Roman"/>
          <w:sz w:val="24"/>
          <w:szCs w:val="28"/>
        </w:rPr>
        <w:t>.</w:t>
      </w:r>
      <w:r w:rsidR="00CE2272">
        <w:rPr>
          <w:rFonts w:ascii="Arial Narrow" w:hAnsi="Arial Narrow" w:cs="Times New Roman"/>
          <w:sz w:val="24"/>
          <w:szCs w:val="28"/>
        </w:rPr>
        <w:t xml:space="preserve"> By comparing &lt;&lt;Mr/Mrs/Ms/Miss patient’s last name’s&gt;&gt; genome to a reference sequence, d</w:t>
      </w:r>
      <w:r w:rsidR="00034343">
        <w:rPr>
          <w:rFonts w:ascii="Arial Narrow" w:hAnsi="Arial Narrow" w:cs="Times New Roman"/>
          <w:sz w:val="24"/>
          <w:szCs w:val="28"/>
        </w:rPr>
        <w:t>eletions and/or duplications, also known as</w:t>
      </w:r>
      <w:r w:rsidR="00CE2272">
        <w:rPr>
          <w:rFonts w:ascii="Arial Narrow" w:hAnsi="Arial Narrow" w:cs="Times New Roman"/>
          <w:sz w:val="24"/>
          <w:szCs w:val="28"/>
        </w:rPr>
        <w:t xml:space="preserve"> copy number variants (CNVs), can be detected within &lt;&lt;his/her&gt;&gt; genome</w:t>
      </w:r>
      <w:r w:rsidR="00D41E42">
        <w:rPr>
          <w:rFonts w:ascii="Arial Narrow" w:hAnsi="Arial Narrow" w:cs="Times New Roman"/>
          <w:sz w:val="14"/>
          <w:szCs w:val="14"/>
          <w:vertAlign w:val="superscript"/>
        </w:rPr>
        <w:t>1</w:t>
      </w:r>
      <w:r w:rsidR="00CE2272">
        <w:rPr>
          <w:rFonts w:ascii="Arial Narrow" w:hAnsi="Arial Narrow" w:cs="Times New Roman"/>
          <w:sz w:val="24"/>
          <w:szCs w:val="28"/>
        </w:rPr>
        <w:t xml:space="preserve">. The detection of CNVs </w:t>
      </w:r>
      <w:r w:rsidR="00034343">
        <w:rPr>
          <w:rFonts w:ascii="Arial Narrow" w:hAnsi="Arial Narrow" w:cs="Times New Roman"/>
          <w:sz w:val="24"/>
          <w:szCs w:val="28"/>
        </w:rPr>
        <w:t xml:space="preserve">can provide a diagnosis for an </w:t>
      </w:r>
      <w:r w:rsidR="0054391D">
        <w:rPr>
          <w:rFonts w:ascii="Arial Narrow" w:hAnsi="Arial Narrow" w:cs="Times New Roman"/>
          <w:sz w:val="24"/>
          <w:szCs w:val="28"/>
        </w:rPr>
        <w:t>existing</w:t>
      </w:r>
      <w:r w:rsidR="00AA11A7">
        <w:rPr>
          <w:rFonts w:ascii="Arial Narrow" w:hAnsi="Arial Narrow" w:cs="Times New Roman"/>
          <w:sz w:val="24"/>
          <w:szCs w:val="28"/>
        </w:rPr>
        <w:t xml:space="preserve">, unexplained, </w:t>
      </w:r>
      <w:r w:rsidR="0054391D">
        <w:rPr>
          <w:rFonts w:ascii="Arial Narrow" w:hAnsi="Arial Narrow" w:cs="Times New Roman"/>
          <w:sz w:val="24"/>
          <w:szCs w:val="28"/>
        </w:rPr>
        <w:t xml:space="preserve">abnormal phenotype. </w:t>
      </w:r>
      <w:r w:rsidR="005E55F7">
        <w:rPr>
          <w:rFonts w:ascii="Arial Narrow" w:hAnsi="Arial Narrow" w:cs="Times New Roman"/>
          <w:sz w:val="24"/>
          <w:szCs w:val="28"/>
        </w:rPr>
        <w:t>CMA</w:t>
      </w:r>
      <w:r w:rsidR="005966E5">
        <w:rPr>
          <w:rFonts w:ascii="Arial Narrow" w:hAnsi="Arial Narrow" w:cs="Times New Roman"/>
          <w:sz w:val="24"/>
          <w:szCs w:val="28"/>
        </w:rPr>
        <w:t xml:space="preserve"> has been proven</w:t>
      </w:r>
      <w:r w:rsidR="00F46EF9">
        <w:rPr>
          <w:rFonts w:ascii="Arial Narrow" w:hAnsi="Arial Narrow" w:cs="Times New Roman"/>
          <w:sz w:val="24"/>
          <w:szCs w:val="28"/>
        </w:rPr>
        <w:t xml:space="preserve"> to be a first-tier diagnostic test that is</w:t>
      </w:r>
      <w:r w:rsidR="005966E5">
        <w:rPr>
          <w:rFonts w:ascii="Arial Narrow" w:hAnsi="Arial Narrow" w:cs="Times New Roman"/>
          <w:sz w:val="24"/>
          <w:szCs w:val="28"/>
        </w:rPr>
        <w:t xml:space="preserve"> </w:t>
      </w:r>
      <w:r w:rsidR="0054391D">
        <w:rPr>
          <w:rFonts w:ascii="Arial Narrow" w:hAnsi="Arial Narrow" w:cs="Times New Roman"/>
          <w:sz w:val="24"/>
          <w:szCs w:val="28"/>
        </w:rPr>
        <w:t xml:space="preserve">useful in the detection of </w:t>
      </w:r>
      <w:r w:rsidR="00751FA9">
        <w:rPr>
          <w:rFonts w:ascii="Arial Narrow" w:hAnsi="Arial Narrow" w:cs="Times New Roman"/>
          <w:sz w:val="24"/>
          <w:szCs w:val="28"/>
        </w:rPr>
        <w:t xml:space="preserve">CNVs associated with </w:t>
      </w:r>
      <w:r w:rsidR="0054391D">
        <w:rPr>
          <w:rFonts w:ascii="Arial Narrow" w:hAnsi="Arial Narrow" w:cs="Times New Roman"/>
          <w:sz w:val="24"/>
          <w:szCs w:val="28"/>
        </w:rPr>
        <w:t>intellectual disability, developmental delay, and autism spectrum disorder</w:t>
      </w:r>
      <w:r w:rsidR="00D41E42">
        <w:rPr>
          <w:rFonts w:ascii="Arial Narrow" w:hAnsi="Arial Narrow" w:cs="Times New Roman"/>
          <w:sz w:val="14"/>
          <w:szCs w:val="14"/>
          <w:vertAlign w:val="superscript"/>
        </w:rPr>
        <w:t>2, 3, 4</w:t>
      </w:r>
      <w:r w:rsidR="0054391D">
        <w:rPr>
          <w:rFonts w:ascii="Arial Narrow" w:hAnsi="Arial Narrow" w:cs="Times New Roman"/>
          <w:sz w:val="24"/>
          <w:szCs w:val="28"/>
        </w:rPr>
        <w:t>, as well as</w:t>
      </w:r>
      <w:r w:rsidR="005E55F7">
        <w:rPr>
          <w:rFonts w:ascii="Arial Narrow" w:hAnsi="Arial Narrow" w:cs="Times New Roman"/>
          <w:sz w:val="24"/>
          <w:szCs w:val="28"/>
        </w:rPr>
        <w:t xml:space="preserve"> </w:t>
      </w:r>
      <w:r w:rsidR="00406128">
        <w:rPr>
          <w:rFonts w:ascii="Arial Narrow" w:hAnsi="Arial Narrow" w:cs="Times New Roman"/>
          <w:sz w:val="24"/>
          <w:szCs w:val="28"/>
        </w:rPr>
        <w:t xml:space="preserve">revealing </w:t>
      </w:r>
      <w:r w:rsidR="005E55F7">
        <w:rPr>
          <w:rFonts w:ascii="Arial Narrow" w:hAnsi="Arial Narrow" w:cs="Times New Roman"/>
          <w:sz w:val="24"/>
          <w:szCs w:val="28"/>
        </w:rPr>
        <w:t>the underlying causes of</w:t>
      </w:r>
      <w:r w:rsidR="0054391D">
        <w:rPr>
          <w:rFonts w:ascii="Arial Narrow" w:hAnsi="Arial Narrow" w:cs="Times New Roman"/>
          <w:sz w:val="24"/>
          <w:szCs w:val="28"/>
        </w:rPr>
        <w:t xml:space="preserve"> </w:t>
      </w:r>
      <w:r w:rsidR="00AA11A7">
        <w:rPr>
          <w:rFonts w:ascii="Arial Narrow" w:hAnsi="Arial Narrow" w:cs="Times New Roman"/>
          <w:sz w:val="24"/>
          <w:szCs w:val="28"/>
        </w:rPr>
        <w:t>heart defects, epilepsy,</w:t>
      </w:r>
      <w:r w:rsidR="00D654D1">
        <w:rPr>
          <w:rFonts w:ascii="Arial Narrow" w:hAnsi="Arial Narrow" w:cs="Times New Roman"/>
          <w:sz w:val="24"/>
          <w:szCs w:val="28"/>
        </w:rPr>
        <w:t xml:space="preserve"> and </w:t>
      </w:r>
      <w:r w:rsidR="00AA11A7">
        <w:rPr>
          <w:rFonts w:ascii="Arial Narrow" w:hAnsi="Arial Narrow" w:cs="Times New Roman"/>
          <w:sz w:val="24"/>
          <w:szCs w:val="28"/>
        </w:rPr>
        <w:t>seizures.</w:t>
      </w:r>
      <w:r w:rsidR="009831B1">
        <w:rPr>
          <w:rFonts w:ascii="Arial Narrow" w:hAnsi="Arial Narrow" w:cs="Times New Roman"/>
          <w:sz w:val="24"/>
          <w:szCs w:val="28"/>
        </w:rPr>
        <w:t xml:space="preserve"> </w:t>
      </w:r>
      <w:r w:rsidR="005E55F7">
        <w:rPr>
          <w:rFonts w:ascii="Arial Narrow" w:hAnsi="Arial Narrow" w:cs="Times New Roman"/>
          <w:sz w:val="24"/>
          <w:szCs w:val="28"/>
        </w:rPr>
        <w:t>It can also provide</w:t>
      </w:r>
      <w:r w:rsidR="00406128">
        <w:rPr>
          <w:rFonts w:ascii="Arial Narrow" w:hAnsi="Arial Narrow" w:cs="Times New Roman"/>
          <w:sz w:val="24"/>
          <w:szCs w:val="28"/>
        </w:rPr>
        <w:t xml:space="preserve"> important</w:t>
      </w:r>
      <w:r w:rsidR="00AA11A7">
        <w:rPr>
          <w:rFonts w:ascii="Arial Narrow" w:hAnsi="Arial Narrow" w:cs="Times New Roman"/>
          <w:sz w:val="24"/>
          <w:szCs w:val="28"/>
        </w:rPr>
        <w:t xml:space="preserve"> information </w:t>
      </w:r>
      <w:r w:rsidR="00406128">
        <w:rPr>
          <w:rFonts w:ascii="Arial Narrow" w:hAnsi="Arial Narrow" w:cs="Times New Roman"/>
          <w:sz w:val="24"/>
          <w:szCs w:val="28"/>
        </w:rPr>
        <w:t xml:space="preserve">in the evaluation of </w:t>
      </w:r>
      <w:r w:rsidR="00AA11A7">
        <w:rPr>
          <w:rFonts w:ascii="Arial Narrow" w:hAnsi="Arial Narrow" w:cs="Times New Roman"/>
          <w:sz w:val="24"/>
          <w:szCs w:val="28"/>
        </w:rPr>
        <w:t>stillbirth, spontaneous pregna</w:t>
      </w:r>
      <w:r w:rsidR="00275F0B">
        <w:rPr>
          <w:rFonts w:ascii="Arial Narrow" w:hAnsi="Arial Narrow" w:cs="Times New Roman"/>
          <w:sz w:val="24"/>
          <w:szCs w:val="28"/>
        </w:rPr>
        <w:t xml:space="preserve">ncy loss, </w:t>
      </w:r>
      <w:r w:rsidR="00034343">
        <w:rPr>
          <w:rFonts w:ascii="Arial Narrow" w:hAnsi="Arial Narrow" w:cs="Times New Roman"/>
          <w:sz w:val="24"/>
          <w:szCs w:val="28"/>
        </w:rPr>
        <w:t xml:space="preserve">and </w:t>
      </w:r>
      <w:r w:rsidR="00275F0B">
        <w:rPr>
          <w:rFonts w:ascii="Arial Narrow" w:hAnsi="Arial Narrow" w:cs="Times New Roman"/>
          <w:sz w:val="24"/>
          <w:szCs w:val="28"/>
        </w:rPr>
        <w:t>genetic</w:t>
      </w:r>
      <w:r w:rsidR="00034343">
        <w:rPr>
          <w:rFonts w:ascii="Arial Narrow" w:hAnsi="Arial Narrow" w:cs="Times New Roman"/>
          <w:sz w:val="24"/>
          <w:szCs w:val="28"/>
        </w:rPr>
        <w:t xml:space="preserve">ally heterogeneous </w:t>
      </w:r>
      <w:r w:rsidR="004E4BEB">
        <w:rPr>
          <w:rFonts w:ascii="Arial Narrow" w:hAnsi="Arial Narrow" w:cs="Times New Roman"/>
          <w:sz w:val="24"/>
          <w:szCs w:val="28"/>
        </w:rPr>
        <w:t>disorders.</w:t>
      </w:r>
      <w:r w:rsidR="00AA11A7">
        <w:rPr>
          <w:rFonts w:ascii="Arial Narrow" w:hAnsi="Arial Narrow" w:cs="Times New Roman"/>
          <w:sz w:val="24"/>
          <w:szCs w:val="28"/>
        </w:rPr>
        <w:t xml:space="preserve"> </w:t>
      </w:r>
    </w:p>
    <w:p w:rsidR="00CA619D" w:rsidRPr="0046642B" w:rsidRDefault="00CA619D" w:rsidP="0094001F">
      <w:pPr>
        <w:spacing w:after="0" w:line="240" w:lineRule="auto"/>
        <w:rPr>
          <w:rFonts w:ascii="Arial Narrow" w:hAnsi="Arial Narrow"/>
          <w:sz w:val="20"/>
        </w:rPr>
      </w:pPr>
    </w:p>
    <w:p w:rsidR="00837694" w:rsidRDefault="00C93676" w:rsidP="00DC0E21">
      <w:pPr>
        <w:spacing w:after="0"/>
        <w:rPr>
          <w:rFonts w:ascii="Arial Narrow" w:hAnsi="Arial Narrow" w:cs="Times New Roman"/>
          <w:sz w:val="24"/>
          <w:szCs w:val="28"/>
        </w:rPr>
      </w:pPr>
      <w:r>
        <w:rPr>
          <w:rFonts w:ascii="Arial Narrow" w:hAnsi="Arial Narrow" w:cs="Times New Roman"/>
          <w:sz w:val="24"/>
          <w:szCs w:val="28"/>
        </w:rPr>
        <w:t xml:space="preserve">In addition to the detection of CNVs, </w:t>
      </w:r>
      <w:r w:rsidR="00837694">
        <w:rPr>
          <w:rFonts w:ascii="Arial Narrow" w:hAnsi="Arial Narrow" w:cs="Times New Roman"/>
          <w:sz w:val="24"/>
          <w:szCs w:val="28"/>
        </w:rPr>
        <w:t>the abse</w:t>
      </w:r>
      <w:r w:rsidR="009831B1">
        <w:rPr>
          <w:rFonts w:ascii="Arial Narrow" w:hAnsi="Arial Narrow" w:cs="Times New Roman"/>
          <w:sz w:val="24"/>
          <w:szCs w:val="28"/>
        </w:rPr>
        <w:t>nce/loss of heterozygosity (AOH/</w:t>
      </w:r>
      <w:r w:rsidR="0084186B">
        <w:rPr>
          <w:rFonts w:ascii="Arial Narrow" w:hAnsi="Arial Narrow" w:cs="Times New Roman"/>
          <w:sz w:val="24"/>
          <w:szCs w:val="28"/>
        </w:rPr>
        <w:t xml:space="preserve">LOH), also described as long contiguous stretches of homozygosity (LCSH), </w:t>
      </w:r>
      <w:r>
        <w:rPr>
          <w:rFonts w:ascii="Arial Narrow" w:hAnsi="Arial Narrow" w:cs="Times New Roman"/>
          <w:sz w:val="24"/>
          <w:szCs w:val="28"/>
        </w:rPr>
        <w:t xml:space="preserve">may be detected by the use of single nucleotide polymorphism (SNP) probes. </w:t>
      </w:r>
      <w:r w:rsidR="00751FA9">
        <w:rPr>
          <w:rFonts w:ascii="Arial Narrow" w:hAnsi="Arial Narrow" w:cs="Times New Roman"/>
          <w:sz w:val="24"/>
          <w:szCs w:val="28"/>
        </w:rPr>
        <w:t xml:space="preserve">Concurrent analysis of CGH and SNP data allows for the detection of UPD, AOH/LOH, parental consanguinity, and ploidy changes. </w:t>
      </w:r>
    </w:p>
    <w:p w:rsidR="00406128" w:rsidRDefault="00406128" w:rsidP="00DC0E21">
      <w:pPr>
        <w:spacing w:after="0"/>
        <w:rPr>
          <w:rFonts w:ascii="Arial Narrow" w:hAnsi="Arial Narrow" w:cs="Times New Roman"/>
          <w:sz w:val="24"/>
          <w:szCs w:val="28"/>
        </w:rPr>
      </w:pPr>
    </w:p>
    <w:p w:rsidR="00406128" w:rsidRPr="0094001F" w:rsidRDefault="00406128" w:rsidP="00406128">
      <w:pPr>
        <w:spacing w:after="0" w:line="240" w:lineRule="auto"/>
      </w:pPr>
      <w:r>
        <w:rPr>
          <w:rFonts w:ascii="Arial Narrow" w:hAnsi="Arial Narrow" w:cs="Times New Roman"/>
          <w:sz w:val="24"/>
          <w:szCs w:val="28"/>
        </w:rPr>
        <w:t>CMA has proven to be more successful than the alternative means of deletion and duplication analysis, G-banded karyotyping</w:t>
      </w:r>
      <w:r>
        <w:rPr>
          <w:rFonts w:ascii="Arial Narrow" w:hAnsi="Arial Narrow" w:cs="Times New Roman"/>
          <w:sz w:val="14"/>
          <w:szCs w:val="14"/>
          <w:vertAlign w:val="superscript"/>
        </w:rPr>
        <w:t>3, 5</w:t>
      </w:r>
      <w:r>
        <w:rPr>
          <w:rFonts w:ascii="Arial Narrow" w:hAnsi="Arial Narrow" w:cs="Times New Roman"/>
          <w:sz w:val="24"/>
          <w:szCs w:val="28"/>
        </w:rPr>
        <w:t xml:space="preserve">. G-banded karyotyping is capable of detecting large chromosomal abnormalities, but fails to detect smaller CNVs. The ability of CMA to detect smaller CNVs increases the likelihood of a conclusive diagnosis after a negative karyotype. </w:t>
      </w:r>
    </w:p>
    <w:p w:rsidR="00406128" w:rsidRDefault="00406128" w:rsidP="00406128">
      <w:pPr>
        <w:spacing w:after="0"/>
        <w:rPr>
          <w:rFonts w:ascii="Arial Narrow" w:hAnsi="Arial Narrow" w:cs="Times New Roman"/>
          <w:sz w:val="24"/>
          <w:szCs w:val="28"/>
        </w:rPr>
      </w:pPr>
    </w:p>
    <w:p w:rsidR="00406128" w:rsidRDefault="00406128" w:rsidP="00406128">
      <w:pPr>
        <w:spacing w:after="0" w:line="240" w:lineRule="auto"/>
        <w:rPr>
          <w:rFonts w:ascii="Arial Narrow" w:hAnsi="Arial Narrow" w:cs="Times New Roman"/>
          <w:sz w:val="24"/>
          <w:szCs w:val="28"/>
        </w:rPr>
      </w:pPr>
      <w:r>
        <w:rPr>
          <w:rFonts w:ascii="Arial Narrow" w:hAnsi="Arial Narrow" w:cs="Times New Roman"/>
          <w:sz w:val="24"/>
          <w:szCs w:val="28"/>
        </w:rPr>
        <w:lastRenderedPageBreak/>
        <w:t>Detection rates of CMA have been found to be 10-20% higher than those of conventional karyotyping methods and therefore, CMA increases the likelihood of detecting pathogenic variants</w:t>
      </w:r>
      <w:r w:rsidRPr="00D41E42">
        <w:rPr>
          <w:rFonts w:ascii="Arial Narrow" w:hAnsi="Arial Narrow" w:cs="Times New Roman"/>
          <w:sz w:val="14"/>
          <w:szCs w:val="28"/>
          <w:vertAlign w:val="superscript"/>
        </w:rPr>
        <w:t>6</w:t>
      </w:r>
      <w:r>
        <w:rPr>
          <w:rFonts w:ascii="Arial Narrow" w:hAnsi="Arial Narrow" w:cs="Times New Roman"/>
          <w:sz w:val="24"/>
          <w:szCs w:val="28"/>
        </w:rPr>
        <w:t>. In one study, CMA increased detection rates from 2.9% to 9.6%</w:t>
      </w:r>
      <w:r>
        <w:rPr>
          <w:rFonts w:ascii="Arial Narrow" w:hAnsi="Arial Narrow" w:cs="Times New Roman"/>
          <w:sz w:val="14"/>
          <w:szCs w:val="28"/>
          <w:vertAlign w:val="superscript"/>
        </w:rPr>
        <w:t>7</w:t>
      </w:r>
      <w:r>
        <w:rPr>
          <w:rFonts w:ascii="Arial Narrow" w:hAnsi="Arial Narrow" w:cs="Times New Roman"/>
          <w:sz w:val="24"/>
          <w:szCs w:val="28"/>
        </w:rPr>
        <w:t>. In another study, the detection rate was 17.1%, much higher than the detection of abnormalities by other methods, and this rate would be expected to be even higher with use of a SNP aCGH, depending on the clinical presentation of the patient</w:t>
      </w:r>
      <w:r>
        <w:rPr>
          <w:rFonts w:ascii="Arial Narrow" w:hAnsi="Arial Narrow" w:cs="Times New Roman"/>
          <w:sz w:val="14"/>
          <w:szCs w:val="28"/>
          <w:vertAlign w:val="superscript"/>
        </w:rPr>
        <w:t>8</w:t>
      </w:r>
      <w:r>
        <w:rPr>
          <w:rFonts w:ascii="Arial Narrow" w:hAnsi="Arial Narrow" w:cs="Times New Roman"/>
          <w:sz w:val="24"/>
          <w:szCs w:val="28"/>
        </w:rPr>
        <w:t xml:space="preserve">. </w:t>
      </w:r>
    </w:p>
    <w:p w:rsidR="00751FA9" w:rsidRDefault="00751FA9" w:rsidP="00DC0E21">
      <w:pPr>
        <w:spacing w:after="0"/>
        <w:rPr>
          <w:rFonts w:ascii="Arial Narrow" w:hAnsi="Arial Narrow" w:cs="Times New Roman"/>
          <w:sz w:val="24"/>
          <w:szCs w:val="28"/>
        </w:rPr>
      </w:pPr>
    </w:p>
    <w:p w:rsidR="00034343" w:rsidRDefault="005966E5" w:rsidP="00DC0E21">
      <w:pPr>
        <w:spacing w:after="0"/>
        <w:rPr>
          <w:rFonts w:ascii="Arial Narrow" w:hAnsi="Arial Narrow" w:cs="Times New Roman"/>
          <w:sz w:val="24"/>
          <w:szCs w:val="28"/>
        </w:rPr>
      </w:pPr>
      <w:r>
        <w:rPr>
          <w:rFonts w:ascii="Arial Narrow" w:hAnsi="Arial Narrow" w:cs="Times New Roman"/>
          <w:sz w:val="24"/>
          <w:szCs w:val="28"/>
        </w:rPr>
        <w:t>In the case of incidental findings</w:t>
      </w:r>
      <w:r w:rsidR="00034343">
        <w:rPr>
          <w:rFonts w:ascii="Arial Narrow" w:hAnsi="Arial Narrow" w:cs="Times New Roman"/>
          <w:sz w:val="24"/>
          <w:szCs w:val="28"/>
        </w:rPr>
        <w:t xml:space="preserve"> </w:t>
      </w:r>
      <w:r>
        <w:rPr>
          <w:rFonts w:ascii="Arial Narrow" w:hAnsi="Arial Narrow" w:cs="Times New Roman"/>
          <w:sz w:val="24"/>
          <w:szCs w:val="28"/>
        </w:rPr>
        <w:t>the American College of Medical Genetics and Genomics guidelines will be followed</w:t>
      </w:r>
      <w:r w:rsidR="00D41E42">
        <w:rPr>
          <w:rFonts w:ascii="Arial Narrow" w:hAnsi="Arial Narrow" w:cs="Times New Roman"/>
          <w:sz w:val="14"/>
          <w:szCs w:val="14"/>
          <w:vertAlign w:val="superscript"/>
        </w:rPr>
        <w:t>9</w:t>
      </w:r>
      <w:r>
        <w:rPr>
          <w:rFonts w:ascii="Arial Narrow" w:hAnsi="Arial Narrow" w:cs="Times New Roman"/>
          <w:sz w:val="24"/>
          <w:szCs w:val="28"/>
        </w:rPr>
        <w:t xml:space="preserve">. </w:t>
      </w:r>
      <w:r w:rsidR="00034343" w:rsidRPr="00EA3CA8">
        <w:rPr>
          <w:rFonts w:ascii="Arial Narrow" w:hAnsi="Arial Narrow" w:cs="Times New Roman"/>
          <w:sz w:val="24"/>
          <w:szCs w:val="28"/>
        </w:rPr>
        <w:t xml:space="preserve">Appropriate consent forms allow for discussion and disclosure of incidental findings </w:t>
      </w:r>
      <w:r w:rsidR="00406128">
        <w:rPr>
          <w:rFonts w:ascii="Arial Narrow" w:hAnsi="Arial Narrow" w:cs="Times New Roman"/>
          <w:sz w:val="24"/>
          <w:szCs w:val="28"/>
        </w:rPr>
        <w:t>as</w:t>
      </w:r>
      <w:r w:rsidR="00406128" w:rsidRPr="00EA3CA8">
        <w:rPr>
          <w:rFonts w:ascii="Arial Narrow" w:hAnsi="Arial Narrow" w:cs="Times New Roman"/>
          <w:sz w:val="24"/>
          <w:szCs w:val="28"/>
        </w:rPr>
        <w:t xml:space="preserve"> </w:t>
      </w:r>
      <w:r w:rsidR="00034343" w:rsidRPr="00EA3CA8">
        <w:rPr>
          <w:rFonts w:ascii="Arial Narrow" w:hAnsi="Arial Narrow" w:cs="Times New Roman"/>
          <w:sz w:val="24"/>
          <w:szCs w:val="28"/>
        </w:rPr>
        <w:t>needed.</w:t>
      </w:r>
    </w:p>
    <w:p w:rsidR="00407605" w:rsidRDefault="00034343" w:rsidP="00DC0E21">
      <w:pPr>
        <w:spacing w:after="0"/>
        <w:rPr>
          <w:rFonts w:ascii="Arial Narrow" w:hAnsi="Arial Narrow" w:cs="Times New Roman"/>
          <w:sz w:val="24"/>
          <w:szCs w:val="28"/>
        </w:rPr>
      </w:pPr>
      <w:r>
        <w:rPr>
          <w:rFonts w:ascii="Arial Narrow" w:hAnsi="Arial Narrow" w:cs="Times New Roman"/>
          <w:sz w:val="24"/>
          <w:szCs w:val="28"/>
        </w:rPr>
        <w:t xml:space="preserve"> </w:t>
      </w:r>
    </w:p>
    <w:p w:rsidR="00407605" w:rsidRPr="00845A75" w:rsidRDefault="00407605" w:rsidP="00407605">
      <w:pPr>
        <w:spacing w:after="0" w:line="240" w:lineRule="auto"/>
        <w:rPr>
          <w:rFonts w:ascii="Arial Narrow" w:hAnsi="Arial Narrow" w:cs="Times New Roman"/>
          <w:sz w:val="24"/>
          <w:szCs w:val="28"/>
        </w:rPr>
      </w:pPr>
      <w:r w:rsidRPr="00845A75">
        <w:rPr>
          <w:rFonts w:ascii="Arial Narrow" w:eastAsia="Times New Roman" w:hAnsi="Arial Narrow" w:cs="Times New Roman"/>
          <w:b/>
          <w:bCs/>
          <w:color w:val="000000"/>
          <w:sz w:val="24"/>
          <w:szCs w:val="24"/>
          <w:u w:val="single"/>
        </w:rPr>
        <w:t>Personal History</w:t>
      </w:r>
    </w:p>
    <w:p w:rsidR="00407605" w:rsidRPr="00845A75" w:rsidRDefault="00407605" w:rsidP="00407605">
      <w:pPr>
        <w:spacing w:after="0" w:line="240" w:lineRule="auto"/>
        <w:rPr>
          <w:rFonts w:ascii="Times New Roman" w:eastAsia="Times New Roman" w:hAnsi="Times New Roman" w:cs="Times New Roman"/>
          <w:sz w:val="24"/>
          <w:szCs w:val="24"/>
        </w:rPr>
      </w:pPr>
    </w:p>
    <w:p w:rsidR="00407605" w:rsidRDefault="00407605" w:rsidP="00407605">
      <w:pPr>
        <w:spacing w:line="240" w:lineRule="auto"/>
        <w:rPr>
          <w:rFonts w:ascii="Arial Narrow" w:eastAsia="Times New Roman" w:hAnsi="Arial Narrow" w:cs="Times New Roman"/>
          <w:color w:val="000000"/>
          <w:sz w:val="24"/>
          <w:szCs w:val="24"/>
        </w:rPr>
      </w:pPr>
      <w:r w:rsidRPr="00845A75">
        <w:rPr>
          <w:rFonts w:ascii="Arial Narrow" w:eastAsia="Times New Roman" w:hAnsi="Arial Narrow" w:cs="Times New Roman"/>
          <w:color w:val="000000"/>
          <w:sz w:val="24"/>
          <w:szCs w:val="24"/>
        </w:rPr>
        <w:t>&lt;&lt;Personal Medical History: Include details of patient’s relevant medical history&gt;&gt;</w:t>
      </w:r>
    </w:p>
    <w:p w:rsidR="00406128" w:rsidRDefault="00406128" w:rsidP="00406128">
      <w:pPr>
        <w:spacing w:after="0"/>
        <w:rPr>
          <w:rFonts w:ascii="Arial Narrow" w:hAnsi="Arial Narrow" w:cs="Times New Roman"/>
          <w:sz w:val="24"/>
          <w:szCs w:val="28"/>
        </w:rPr>
      </w:pPr>
      <w:r>
        <w:rPr>
          <w:rFonts w:ascii="Arial Narrow" w:hAnsi="Arial Narrow" w:cs="Times New Roman"/>
          <w:sz w:val="24"/>
          <w:szCs w:val="28"/>
        </w:rPr>
        <w:t>&lt;&lt;Insert a relevant work up including previous testing and negative results and/or further rationale for the CMA request&gt;&gt;</w:t>
      </w:r>
    </w:p>
    <w:p w:rsidR="00406128" w:rsidRPr="00845A75" w:rsidRDefault="00406128" w:rsidP="00407605">
      <w:pPr>
        <w:spacing w:line="240" w:lineRule="auto"/>
        <w:rPr>
          <w:rFonts w:ascii="Times New Roman" w:eastAsia="Times New Roman" w:hAnsi="Times New Roman" w:cs="Times New Roman"/>
          <w:sz w:val="24"/>
          <w:szCs w:val="24"/>
        </w:rPr>
      </w:pPr>
    </w:p>
    <w:p w:rsidR="00407605" w:rsidRPr="00845A75" w:rsidRDefault="00407605" w:rsidP="00407605">
      <w:pPr>
        <w:spacing w:line="240" w:lineRule="auto"/>
        <w:rPr>
          <w:rFonts w:ascii="Times New Roman" w:eastAsia="Times New Roman" w:hAnsi="Times New Roman" w:cs="Times New Roman"/>
          <w:sz w:val="24"/>
          <w:szCs w:val="24"/>
        </w:rPr>
      </w:pPr>
      <w:r w:rsidRPr="00845A75">
        <w:rPr>
          <w:rFonts w:ascii="Arial Narrow" w:eastAsia="Times New Roman" w:hAnsi="Arial Narrow" w:cs="Times New Roman"/>
          <w:b/>
          <w:bCs/>
          <w:color w:val="000000"/>
          <w:sz w:val="24"/>
          <w:szCs w:val="24"/>
          <w:u w:val="single"/>
        </w:rPr>
        <w:t>Family History</w:t>
      </w:r>
    </w:p>
    <w:p w:rsidR="00407605" w:rsidRPr="00845A75" w:rsidRDefault="00407605" w:rsidP="00407605">
      <w:pPr>
        <w:spacing w:after="0" w:line="240" w:lineRule="auto"/>
        <w:rPr>
          <w:rFonts w:ascii="Arial Narrow" w:eastAsia="Times New Roman" w:hAnsi="Arial Narrow" w:cs="Times New Roman"/>
          <w:color w:val="000000"/>
          <w:sz w:val="24"/>
          <w:szCs w:val="24"/>
        </w:rPr>
      </w:pPr>
      <w:r w:rsidRPr="00845A75">
        <w:rPr>
          <w:rFonts w:ascii="Arial Narrow" w:eastAsia="Times New Roman" w:hAnsi="Arial Narrow" w:cs="Times New Roman"/>
          <w:color w:val="000000"/>
          <w:sz w:val="24"/>
          <w:szCs w:val="24"/>
        </w:rPr>
        <w:t>&lt;&lt;Family History: Include list of relevant family history information if applicable. Appropriate risk assessment models or limited history should be noted &gt;&gt;</w:t>
      </w:r>
    </w:p>
    <w:p w:rsidR="00407605" w:rsidRPr="00845A75" w:rsidRDefault="00407605" w:rsidP="00407605">
      <w:pPr>
        <w:spacing w:after="0" w:line="240" w:lineRule="auto"/>
        <w:rPr>
          <w:rFonts w:ascii="Arial Narrow" w:eastAsia="Times New Roman" w:hAnsi="Arial Narrow" w:cs="Times New Roman"/>
          <w:color w:val="000000"/>
          <w:sz w:val="24"/>
          <w:szCs w:val="24"/>
        </w:rPr>
      </w:pPr>
    </w:p>
    <w:p w:rsidR="00407605" w:rsidRPr="00407605" w:rsidRDefault="00407605" w:rsidP="00407605">
      <w:pPr>
        <w:spacing w:after="0" w:line="240" w:lineRule="auto"/>
        <w:rPr>
          <w:rFonts w:ascii="Arial Narrow" w:eastAsia="Times New Roman" w:hAnsi="Arial Narrow" w:cs="Times New Roman"/>
          <w:color w:val="FF0000"/>
          <w:sz w:val="24"/>
          <w:szCs w:val="24"/>
        </w:rPr>
      </w:pPr>
      <w:r>
        <w:rPr>
          <w:rFonts w:ascii="Arial Narrow" w:eastAsia="Times New Roman" w:hAnsi="Arial Narrow" w:cs="Times New Roman"/>
          <w:color w:val="000000"/>
          <w:sz w:val="24"/>
          <w:szCs w:val="24"/>
        </w:rPr>
        <w:t>Given &lt;&lt;Mr/Mrs/Ms/Miss patient’s last name’s&gt;&gt;</w:t>
      </w:r>
      <w:r w:rsidR="00B07B6C">
        <w:rPr>
          <w:rFonts w:ascii="Arial Narrow" w:eastAsia="Times New Roman" w:hAnsi="Arial Narrow" w:cs="Times New Roman"/>
          <w:color w:val="000000"/>
          <w:sz w:val="24"/>
          <w:szCs w:val="24"/>
        </w:rPr>
        <w:t xml:space="preserve"> phenotype</w:t>
      </w:r>
      <w:r>
        <w:rPr>
          <w:rFonts w:ascii="Arial Narrow" w:eastAsia="Times New Roman" w:hAnsi="Arial Narrow" w:cs="Times New Roman"/>
          <w:color w:val="000000"/>
          <w:sz w:val="24"/>
          <w:szCs w:val="24"/>
        </w:rPr>
        <w:t xml:space="preserve">, </w:t>
      </w:r>
      <w:r w:rsidRPr="00845A75">
        <w:rPr>
          <w:rFonts w:ascii="Arial Narrow" w:eastAsia="Times New Roman" w:hAnsi="Arial Narrow" w:cs="Times New Roman"/>
          <w:color w:val="000000"/>
          <w:sz w:val="24"/>
          <w:szCs w:val="24"/>
        </w:rPr>
        <w:t xml:space="preserve">the most efficient and cost effective method that would result in a </w:t>
      </w:r>
      <w:r>
        <w:rPr>
          <w:rFonts w:ascii="Arial Narrow" w:eastAsia="Times New Roman" w:hAnsi="Arial Narrow" w:cs="Times New Roman"/>
          <w:color w:val="000000"/>
          <w:sz w:val="24"/>
          <w:szCs w:val="24"/>
        </w:rPr>
        <w:t xml:space="preserve">potentially </w:t>
      </w:r>
      <w:r w:rsidRPr="00845A75">
        <w:rPr>
          <w:rFonts w:ascii="Arial Narrow" w:eastAsia="Times New Roman" w:hAnsi="Arial Narrow" w:cs="Times New Roman"/>
          <w:color w:val="000000"/>
          <w:sz w:val="24"/>
          <w:szCs w:val="24"/>
        </w:rPr>
        <w:t>conclusive diagnosis would be</w:t>
      </w:r>
      <w:r>
        <w:rPr>
          <w:rFonts w:ascii="Arial Narrow" w:eastAsia="Times New Roman" w:hAnsi="Arial Narrow" w:cs="Times New Roman"/>
          <w:color w:val="000000"/>
          <w:sz w:val="24"/>
          <w:szCs w:val="24"/>
        </w:rPr>
        <w:t xml:space="preserve"> CMA</w:t>
      </w:r>
      <w:r w:rsidRPr="00845A75">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 xml:space="preserve"> </w:t>
      </w:r>
    </w:p>
    <w:p w:rsidR="00407605" w:rsidRPr="00F200D1" w:rsidRDefault="00407605" w:rsidP="00407605">
      <w:pPr>
        <w:spacing w:after="0" w:line="240" w:lineRule="auto"/>
        <w:rPr>
          <w:rFonts w:ascii="Times New Roman" w:eastAsia="Times New Roman" w:hAnsi="Times New Roman" w:cs="Times New Roman"/>
          <w:sz w:val="24"/>
          <w:szCs w:val="24"/>
        </w:rPr>
      </w:pPr>
    </w:p>
    <w:p w:rsidR="00407605" w:rsidRPr="00F200D1" w:rsidRDefault="00407605" w:rsidP="00407605">
      <w:pPr>
        <w:spacing w:after="0" w:line="240" w:lineRule="auto"/>
        <w:jc w:val="both"/>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The laboratory providing the genetic testing is PreventionGenetics, LLC, (Tax ID: 83 0343803) who is a sponsor of Pediatric Lab Utilization Guidance Services (</w:t>
      </w:r>
      <w:hyperlink r:id="rId6" w:history="1">
        <w:r w:rsidRPr="00F200D1">
          <w:rPr>
            <w:rFonts w:ascii="Arial Narrow" w:eastAsia="Times New Roman" w:hAnsi="Arial Narrow" w:cs="Times New Roman"/>
            <w:color w:val="000000"/>
            <w:sz w:val="24"/>
            <w:szCs w:val="24"/>
            <w:u w:val="single"/>
          </w:rPr>
          <w:t>PLUGS</w:t>
        </w:r>
        <w:r w:rsidRPr="00F200D1">
          <w:rPr>
            <w:rFonts w:ascii="Arial Narrow" w:eastAsia="Times New Roman" w:hAnsi="Arial Narrow" w:cs="Times New Roman"/>
            <w:color w:val="000000"/>
            <w:sz w:val="24"/>
            <w:szCs w:val="24"/>
            <w:u w:val="single"/>
            <w:shd w:val="clear" w:color="auto" w:fill="FFFFFF"/>
          </w:rPr>
          <w:t>®</w:t>
        </w:r>
      </w:hyperlink>
      <w:r w:rsidRPr="00F200D1">
        <w:rPr>
          <w:rFonts w:ascii="Arial Narrow" w:eastAsia="Times New Roman" w:hAnsi="Arial Narrow" w:cs="Times New Roman"/>
          <w:color w:val="000000"/>
          <w:sz w:val="24"/>
          <w:szCs w:val="24"/>
        </w:rPr>
        <w:t>).  PreventionGenetics is committed to providing comprehensive, high quality, and affordable genetic testing that adds value to patient care.  Through utilization management strategies at PreventionGenetics, over 1.3 million healthcare dollars are saved annually.</w:t>
      </w:r>
    </w:p>
    <w:p w:rsidR="00407605" w:rsidRPr="00F200D1" w:rsidRDefault="00407605" w:rsidP="00407605">
      <w:pPr>
        <w:spacing w:after="0" w:line="240" w:lineRule="auto"/>
        <w:rPr>
          <w:rFonts w:ascii="Times New Roman" w:eastAsia="Times New Roman" w:hAnsi="Times New Roman" w:cs="Times New Roman"/>
          <w:sz w:val="24"/>
          <w:szCs w:val="24"/>
        </w:rPr>
      </w:pPr>
    </w:p>
    <w:p w:rsidR="00407605" w:rsidRPr="00F200D1" w:rsidRDefault="00407605" w:rsidP="00407605">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I am hopeful that we can work together for &lt;&lt;Mr/Mrs/Ms/Miss patient’s last name’s&gt;&gt; benefit.  Please contact me at &lt;&lt;Phone #&gt;&gt; with the result of this prior authorization and/or if you need additional information.</w:t>
      </w:r>
    </w:p>
    <w:p w:rsidR="00407605" w:rsidRPr="00F200D1" w:rsidRDefault="00407605" w:rsidP="00407605">
      <w:pPr>
        <w:spacing w:after="240" w:line="240" w:lineRule="auto"/>
        <w:rPr>
          <w:rFonts w:ascii="Times New Roman" w:eastAsia="Times New Roman" w:hAnsi="Times New Roman" w:cs="Times New Roman"/>
          <w:sz w:val="24"/>
          <w:szCs w:val="24"/>
        </w:rPr>
      </w:pPr>
    </w:p>
    <w:p w:rsidR="00407605" w:rsidRPr="00F200D1" w:rsidRDefault="00407605" w:rsidP="00407605">
      <w:pPr>
        <w:spacing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Sincerely,</w:t>
      </w:r>
    </w:p>
    <w:p w:rsidR="00407605" w:rsidRPr="00F200D1" w:rsidRDefault="00407605" w:rsidP="00407605">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&lt;&lt;Name, credentials&gt;&gt;</w:t>
      </w:r>
    </w:p>
    <w:p w:rsidR="00407605" w:rsidRPr="00F200D1" w:rsidRDefault="00407605" w:rsidP="00407605">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&lt;&lt;Title&gt;&gt;</w:t>
      </w:r>
    </w:p>
    <w:p w:rsidR="00407605" w:rsidRDefault="00407605" w:rsidP="00407605">
      <w:pPr>
        <w:spacing w:after="0" w:line="240" w:lineRule="auto"/>
        <w:rPr>
          <w:rFonts w:ascii="Arial Narrow" w:eastAsia="Times New Roman" w:hAnsi="Arial Narrow" w:cs="Times New Roman"/>
          <w:color w:val="000000"/>
          <w:sz w:val="24"/>
          <w:szCs w:val="24"/>
        </w:rPr>
      </w:pPr>
      <w:r w:rsidRPr="00F200D1">
        <w:rPr>
          <w:rFonts w:ascii="Arial Narrow" w:eastAsia="Times New Roman" w:hAnsi="Arial Narrow" w:cs="Times New Roman"/>
          <w:color w:val="000000"/>
          <w:sz w:val="24"/>
          <w:szCs w:val="24"/>
        </w:rPr>
        <w:t>&lt;&lt;Institution&gt;&gt;</w:t>
      </w:r>
    </w:p>
    <w:p w:rsidR="00C00CF8" w:rsidRDefault="00C00CF8" w:rsidP="00E43DBE">
      <w:pPr>
        <w:rPr>
          <w:rFonts w:ascii="Arial Narrow" w:hAnsi="Arial Narrow" w:cs="Times New Roman"/>
          <w:sz w:val="24"/>
          <w:szCs w:val="28"/>
        </w:rPr>
      </w:pPr>
    </w:p>
    <w:p w:rsidR="00C00CF8" w:rsidRDefault="00C00CF8" w:rsidP="00E43DBE">
      <w:pPr>
        <w:rPr>
          <w:rFonts w:ascii="Arial Narrow" w:hAnsi="Arial Narrow" w:cs="Times New Roman"/>
          <w:sz w:val="24"/>
          <w:szCs w:val="28"/>
        </w:rPr>
      </w:pPr>
    </w:p>
    <w:p w:rsidR="00C00CF8" w:rsidRDefault="00C00CF8" w:rsidP="00E43DBE">
      <w:pPr>
        <w:rPr>
          <w:rFonts w:ascii="Arial Narrow" w:hAnsi="Arial Narrow" w:cs="Times New Roman"/>
          <w:sz w:val="24"/>
          <w:szCs w:val="28"/>
        </w:rPr>
      </w:pPr>
    </w:p>
    <w:p w:rsidR="00C00CF8" w:rsidRDefault="00C00CF8" w:rsidP="00E43DBE">
      <w:pPr>
        <w:rPr>
          <w:rFonts w:ascii="Arial Narrow" w:hAnsi="Arial Narrow" w:cs="Times New Roman"/>
          <w:sz w:val="24"/>
          <w:szCs w:val="28"/>
        </w:rPr>
      </w:pPr>
    </w:p>
    <w:p w:rsidR="00C00CF8" w:rsidRDefault="00C00CF8" w:rsidP="00E43DBE">
      <w:pPr>
        <w:rPr>
          <w:rFonts w:ascii="Arial Narrow" w:hAnsi="Arial Narrow" w:cs="Times New Roman"/>
          <w:sz w:val="24"/>
          <w:szCs w:val="28"/>
        </w:rPr>
      </w:pPr>
    </w:p>
    <w:p w:rsidR="00E43DBE" w:rsidRPr="00C00CF8" w:rsidRDefault="00E43DBE" w:rsidP="00E43DBE">
      <w:pPr>
        <w:rPr>
          <w:rFonts w:ascii="Arial Narrow" w:hAnsi="Arial Narrow" w:cs="Times New Roman"/>
          <w:sz w:val="24"/>
          <w:szCs w:val="28"/>
        </w:rPr>
      </w:pPr>
      <w:r w:rsidRPr="00275F0B">
        <w:rPr>
          <w:rFonts w:ascii="Arial Narrow" w:hAnsi="Arial Narrow"/>
          <w:sz w:val="20"/>
        </w:rPr>
        <w:t>References</w:t>
      </w:r>
    </w:p>
    <w:p w:rsidR="00D41E42" w:rsidRPr="00275F0B" w:rsidRDefault="00D41E42" w:rsidP="00D41E42">
      <w:pPr>
        <w:pStyle w:val="ListParagraph"/>
        <w:numPr>
          <w:ilvl w:val="0"/>
          <w:numId w:val="6"/>
        </w:numPr>
        <w:rPr>
          <w:rFonts w:ascii="Arial Narrow" w:hAnsi="Arial Narrow"/>
          <w:sz w:val="20"/>
        </w:rPr>
      </w:pPr>
      <w:r>
        <w:rPr>
          <w:rFonts w:ascii="Arial Narrow" w:hAnsi="Arial Narrow"/>
          <w:sz w:val="20"/>
        </w:rPr>
        <w:t xml:space="preserve">Redon et al. (2006). </w:t>
      </w:r>
      <w:r w:rsidRPr="00D41E42">
        <w:rPr>
          <w:rFonts w:ascii="Arial Narrow" w:hAnsi="Arial Narrow"/>
          <w:i/>
          <w:sz w:val="20"/>
        </w:rPr>
        <w:t>Nature, 444</w:t>
      </w:r>
      <w:r>
        <w:rPr>
          <w:rFonts w:ascii="Arial Narrow" w:hAnsi="Arial Narrow"/>
          <w:sz w:val="20"/>
        </w:rPr>
        <w:t>, 444-454. PubMed ID: 17122850</w:t>
      </w:r>
    </w:p>
    <w:p w:rsidR="00D41E42" w:rsidRPr="00275F0B" w:rsidRDefault="00D41E42" w:rsidP="00D41E42">
      <w:pPr>
        <w:pStyle w:val="ListParagraph"/>
        <w:numPr>
          <w:ilvl w:val="0"/>
          <w:numId w:val="6"/>
        </w:numPr>
        <w:rPr>
          <w:rFonts w:ascii="Arial Narrow" w:hAnsi="Arial Narrow"/>
          <w:sz w:val="20"/>
        </w:rPr>
      </w:pPr>
      <w:r w:rsidRPr="00275F0B">
        <w:rPr>
          <w:rFonts w:ascii="Arial Narrow" w:hAnsi="Arial Narrow"/>
          <w:sz w:val="20"/>
        </w:rPr>
        <w:t xml:space="preserve">Pajusalu, S., et al. (2015). </w:t>
      </w:r>
      <w:r w:rsidRPr="00275F0B">
        <w:rPr>
          <w:rFonts w:ascii="Arial Narrow" w:hAnsi="Arial Narrow"/>
          <w:i/>
          <w:sz w:val="20"/>
        </w:rPr>
        <w:t>Molecular Syndromology, 3,</w:t>
      </w:r>
      <w:r w:rsidRPr="00275F0B">
        <w:rPr>
          <w:rFonts w:ascii="Arial Narrow" w:hAnsi="Arial Narrow"/>
          <w:sz w:val="20"/>
        </w:rPr>
        <w:t xml:space="preserve"> 135-140. PubMed ID: 26733775</w:t>
      </w:r>
    </w:p>
    <w:p w:rsidR="00D41E42" w:rsidRPr="00275F0B" w:rsidRDefault="00D41E42" w:rsidP="00D41E42">
      <w:pPr>
        <w:pStyle w:val="ListParagraph"/>
        <w:numPr>
          <w:ilvl w:val="0"/>
          <w:numId w:val="6"/>
        </w:numPr>
        <w:rPr>
          <w:rFonts w:ascii="Arial Narrow" w:hAnsi="Arial Narrow"/>
          <w:sz w:val="20"/>
        </w:rPr>
      </w:pPr>
      <w:r w:rsidRPr="00275F0B">
        <w:rPr>
          <w:rFonts w:ascii="Arial Narrow" w:hAnsi="Arial Narrow"/>
          <w:sz w:val="20"/>
        </w:rPr>
        <w:t xml:space="preserve">Reddy, U. M., et al. (2012). </w:t>
      </w:r>
      <w:r w:rsidRPr="00275F0B">
        <w:rPr>
          <w:rFonts w:ascii="Arial Narrow" w:hAnsi="Arial Narrow"/>
          <w:i/>
          <w:sz w:val="20"/>
        </w:rPr>
        <w:t>The New England Journal of Medicine, 367,</w:t>
      </w:r>
      <w:r w:rsidRPr="00275F0B">
        <w:rPr>
          <w:rFonts w:ascii="Arial Narrow" w:hAnsi="Arial Narrow"/>
          <w:sz w:val="20"/>
        </w:rPr>
        <w:t xml:space="preserve"> 2185-2193. PubMed ID: 23215556</w:t>
      </w:r>
    </w:p>
    <w:p w:rsidR="00D41E42" w:rsidRPr="00D41E42" w:rsidRDefault="00D41E42" w:rsidP="00D41E42">
      <w:pPr>
        <w:pStyle w:val="ListParagraph"/>
        <w:numPr>
          <w:ilvl w:val="0"/>
          <w:numId w:val="6"/>
        </w:numPr>
        <w:shd w:val="clear" w:color="auto" w:fill="FFFFFF"/>
        <w:spacing w:after="0" w:line="240" w:lineRule="auto"/>
        <w:rPr>
          <w:rFonts w:ascii="Arial Narrow" w:eastAsia="Times New Roman" w:hAnsi="Arial Narrow" w:cs="Arial"/>
          <w:color w:val="222222"/>
          <w:sz w:val="20"/>
          <w:szCs w:val="19"/>
        </w:rPr>
      </w:pPr>
      <w:r w:rsidRPr="00D41E42">
        <w:rPr>
          <w:rFonts w:ascii="Arial Narrow" w:eastAsia="Times New Roman" w:hAnsi="Arial Narrow" w:cs="Arial"/>
          <w:color w:val="222222"/>
          <w:sz w:val="20"/>
          <w:szCs w:val="19"/>
        </w:rPr>
        <w:t xml:space="preserve">Miller, D. T. et al. (2010). </w:t>
      </w:r>
      <w:r w:rsidRPr="00D41E42">
        <w:rPr>
          <w:rFonts w:ascii="Arial Narrow" w:eastAsia="Times New Roman" w:hAnsi="Arial Narrow" w:cs="Arial"/>
          <w:i/>
          <w:color w:val="222222"/>
          <w:sz w:val="20"/>
          <w:szCs w:val="19"/>
        </w:rPr>
        <w:t>Am. J. Hum. Genet. 86,</w:t>
      </w:r>
      <w:r w:rsidRPr="00D41E42">
        <w:rPr>
          <w:rFonts w:ascii="Arial Narrow" w:eastAsia="Times New Roman" w:hAnsi="Arial Narrow" w:cs="Arial"/>
          <w:color w:val="222222"/>
          <w:sz w:val="20"/>
          <w:szCs w:val="19"/>
        </w:rPr>
        <w:t xml:space="preserve"> 749–764. PubMed ID: 20466091</w:t>
      </w:r>
    </w:p>
    <w:p w:rsidR="00D41E42" w:rsidRDefault="00D41E42" w:rsidP="00D41E42">
      <w:pPr>
        <w:pStyle w:val="ListParagraph"/>
        <w:numPr>
          <w:ilvl w:val="0"/>
          <w:numId w:val="6"/>
        </w:numPr>
        <w:rPr>
          <w:rFonts w:ascii="Arial Narrow" w:hAnsi="Arial Narrow"/>
          <w:sz w:val="20"/>
        </w:rPr>
      </w:pPr>
      <w:r w:rsidRPr="00454E56">
        <w:rPr>
          <w:rFonts w:ascii="Arial Narrow" w:hAnsi="Arial Narrow"/>
          <w:sz w:val="20"/>
        </w:rPr>
        <w:t xml:space="preserve">Shin, S., et al. (2015). </w:t>
      </w:r>
      <w:r w:rsidRPr="00454E56">
        <w:rPr>
          <w:rFonts w:ascii="Arial Narrow" w:hAnsi="Arial Narrow"/>
          <w:i/>
          <w:sz w:val="20"/>
        </w:rPr>
        <w:t>Annals of Laboratory Medicine, 35,</w:t>
      </w:r>
      <w:r w:rsidRPr="00454E56">
        <w:rPr>
          <w:rFonts w:ascii="Arial Narrow" w:hAnsi="Arial Narrow"/>
          <w:sz w:val="20"/>
        </w:rPr>
        <w:t xml:space="preserve"> 510-518. PubMed ID: 26206688</w:t>
      </w:r>
    </w:p>
    <w:p w:rsidR="00D41E42" w:rsidRPr="00D41E42" w:rsidRDefault="00D41E42" w:rsidP="00D41E42">
      <w:pPr>
        <w:pStyle w:val="ListParagraph"/>
        <w:numPr>
          <w:ilvl w:val="0"/>
          <w:numId w:val="6"/>
        </w:numPr>
        <w:shd w:val="clear" w:color="auto" w:fill="FFFFFF"/>
        <w:spacing w:after="0" w:line="240" w:lineRule="auto"/>
        <w:rPr>
          <w:rFonts w:ascii="Arial" w:eastAsia="Times New Roman" w:hAnsi="Arial" w:cs="Arial"/>
          <w:color w:val="222222"/>
          <w:sz w:val="19"/>
          <w:szCs w:val="19"/>
        </w:rPr>
      </w:pPr>
      <w:r w:rsidRPr="00D41E42">
        <w:rPr>
          <w:rFonts w:ascii="Arial Narrow" w:eastAsia="Times New Roman" w:hAnsi="Arial Narrow" w:cs="Arial"/>
          <w:color w:val="222222"/>
          <w:sz w:val="20"/>
          <w:szCs w:val="19"/>
        </w:rPr>
        <w:t xml:space="preserve">Xiang, B. et al. (2010). </w:t>
      </w:r>
      <w:r w:rsidRPr="00D41E42">
        <w:rPr>
          <w:rFonts w:ascii="Arial Narrow" w:eastAsia="Times New Roman" w:hAnsi="Arial Narrow" w:cs="Arial"/>
          <w:i/>
          <w:color w:val="222222"/>
          <w:sz w:val="20"/>
          <w:szCs w:val="19"/>
        </w:rPr>
        <w:t>JMD 12,</w:t>
      </w:r>
      <w:r w:rsidRPr="00D41E42">
        <w:rPr>
          <w:rFonts w:ascii="Arial Narrow" w:eastAsia="Times New Roman" w:hAnsi="Arial Narrow" w:cs="Arial"/>
          <w:color w:val="222222"/>
          <w:sz w:val="20"/>
          <w:szCs w:val="19"/>
        </w:rPr>
        <w:t xml:space="preserve"> 204–212. PubMed ID: 20093387</w:t>
      </w:r>
    </w:p>
    <w:p w:rsidR="00511027" w:rsidRPr="00AA5744" w:rsidRDefault="00511027" w:rsidP="00511027">
      <w:pPr>
        <w:pStyle w:val="ListParagraph"/>
        <w:numPr>
          <w:ilvl w:val="0"/>
          <w:numId w:val="6"/>
        </w:numPr>
        <w:rPr>
          <w:rFonts w:ascii="Arial Narrow" w:hAnsi="Arial Narrow"/>
          <w:sz w:val="20"/>
        </w:rPr>
      </w:pPr>
      <w:r>
        <w:rPr>
          <w:rFonts w:ascii="Arial Narrow" w:hAnsi="Arial Narrow"/>
          <w:sz w:val="20"/>
        </w:rPr>
        <w:t xml:space="preserve">Ganesamoorthy, D., et al. (2013). </w:t>
      </w:r>
      <w:r w:rsidRPr="00F46EF9">
        <w:rPr>
          <w:rFonts w:ascii="Arial Narrow" w:hAnsi="Arial Narrow"/>
          <w:i/>
          <w:sz w:val="20"/>
        </w:rPr>
        <w:t>BJOG, 120,</w:t>
      </w:r>
      <w:r>
        <w:rPr>
          <w:rFonts w:ascii="Arial Narrow" w:hAnsi="Arial Narrow"/>
          <w:sz w:val="20"/>
        </w:rPr>
        <w:t xml:space="preserve"> 594-606. PubMed ID: 23332022</w:t>
      </w:r>
    </w:p>
    <w:p w:rsidR="00511027" w:rsidRDefault="00511027" w:rsidP="00511027">
      <w:pPr>
        <w:pStyle w:val="ListParagraph"/>
        <w:numPr>
          <w:ilvl w:val="0"/>
          <w:numId w:val="6"/>
        </w:numPr>
        <w:rPr>
          <w:rFonts w:ascii="Arial Narrow" w:hAnsi="Arial Narrow"/>
          <w:sz w:val="20"/>
        </w:rPr>
      </w:pPr>
      <w:r>
        <w:rPr>
          <w:rFonts w:ascii="Arial Narrow" w:hAnsi="Arial Narrow"/>
          <w:sz w:val="20"/>
        </w:rPr>
        <w:t xml:space="preserve">Lu, XY., et al. (2009). </w:t>
      </w:r>
      <w:r w:rsidRPr="00F46EF9">
        <w:rPr>
          <w:rFonts w:ascii="Arial Narrow" w:hAnsi="Arial Narrow"/>
          <w:i/>
          <w:sz w:val="20"/>
        </w:rPr>
        <w:t>Pediatrics, 122,</w:t>
      </w:r>
      <w:r>
        <w:rPr>
          <w:rFonts w:ascii="Arial Narrow" w:hAnsi="Arial Narrow"/>
          <w:sz w:val="20"/>
        </w:rPr>
        <w:t xml:space="preserve"> 1310-1318. PubMed ID: 19047251</w:t>
      </w:r>
    </w:p>
    <w:p w:rsidR="00454E56" w:rsidRDefault="00275F0B" w:rsidP="00454E56">
      <w:pPr>
        <w:pStyle w:val="ListParagraph"/>
        <w:numPr>
          <w:ilvl w:val="0"/>
          <w:numId w:val="6"/>
        </w:numPr>
        <w:rPr>
          <w:rFonts w:ascii="Arial Narrow" w:hAnsi="Arial Narrow"/>
          <w:sz w:val="20"/>
        </w:rPr>
      </w:pPr>
      <w:r w:rsidRPr="00275F0B">
        <w:rPr>
          <w:rFonts w:ascii="Arial Narrow" w:hAnsi="Arial Narrow"/>
          <w:sz w:val="20"/>
        </w:rPr>
        <w:t xml:space="preserve">Rehder, C. W., et al. (2013). </w:t>
      </w:r>
      <w:r w:rsidRPr="00F46EF9">
        <w:rPr>
          <w:rFonts w:ascii="Arial Narrow" w:hAnsi="Arial Narrow"/>
          <w:i/>
          <w:sz w:val="20"/>
        </w:rPr>
        <w:t>Genetics in Medicine</w:t>
      </w:r>
      <w:r w:rsidRPr="00275F0B">
        <w:rPr>
          <w:rFonts w:ascii="Arial Narrow" w:hAnsi="Arial Narrow"/>
          <w:sz w:val="20"/>
        </w:rPr>
        <w:t xml:space="preserve">, </w:t>
      </w:r>
      <w:r w:rsidRPr="00F46EF9">
        <w:rPr>
          <w:rFonts w:ascii="Arial Narrow" w:hAnsi="Arial Narrow"/>
          <w:i/>
          <w:sz w:val="20"/>
        </w:rPr>
        <w:t>15,</w:t>
      </w:r>
      <w:r w:rsidRPr="00275F0B">
        <w:rPr>
          <w:rFonts w:ascii="Arial Narrow" w:hAnsi="Arial Narrow"/>
          <w:sz w:val="20"/>
        </w:rPr>
        <w:t xml:space="preserve"> 150-152. PubMed ID: 23328890</w:t>
      </w:r>
    </w:p>
    <w:p w:rsidR="00454E56" w:rsidRDefault="00454E56" w:rsidP="00454E56">
      <w:pPr>
        <w:spacing w:after="0"/>
        <w:rPr>
          <w:rFonts w:ascii="Arial Narrow" w:hAnsi="Arial Narrow"/>
          <w:sz w:val="20"/>
        </w:rPr>
      </w:pPr>
    </w:p>
    <w:p w:rsidR="00F46EF9" w:rsidRPr="00F46EF9" w:rsidRDefault="00F46EF9" w:rsidP="00F46EF9">
      <w:pPr>
        <w:shd w:val="clear" w:color="auto" w:fill="FFFFFF"/>
        <w:spacing w:after="0" w:line="240" w:lineRule="auto"/>
        <w:rPr>
          <w:rFonts w:ascii="Arial Narrow" w:eastAsia="Times New Roman" w:hAnsi="Arial Narrow" w:cs="Arial"/>
          <w:color w:val="222222"/>
          <w:sz w:val="20"/>
          <w:szCs w:val="19"/>
        </w:rPr>
      </w:pPr>
    </w:p>
    <w:p w:rsidR="00AB3F45" w:rsidRPr="00454E56" w:rsidRDefault="00AB3F45" w:rsidP="00454E56">
      <w:pPr>
        <w:rPr>
          <w:rFonts w:ascii="Arial Narrow" w:hAnsi="Arial Narrow"/>
          <w:sz w:val="20"/>
          <w:szCs w:val="20"/>
        </w:rPr>
      </w:pPr>
    </w:p>
    <w:sectPr w:rsidR="00AB3F45" w:rsidRPr="0045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95B"/>
    <w:multiLevelType w:val="hybridMultilevel"/>
    <w:tmpl w:val="E87E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62DB3"/>
    <w:multiLevelType w:val="hybridMultilevel"/>
    <w:tmpl w:val="D8B4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E57F9"/>
    <w:multiLevelType w:val="hybridMultilevel"/>
    <w:tmpl w:val="5FD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21614"/>
    <w:multiLevelType w:val="hybridMultilevel"/>
    <w:tmpl w:val="8882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50420"/>
    <w:multiLevelType w:val="multilevel"/>
    <w:tmpl w:val="CBFE7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F07C7"/>
    <w:multiLevelType w:val="hybridMultilevel"/>
    <w:tmpl w:val="21426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21"/>
    <w:rsid w:val="00006B35"/>
    <w:rsid w:val="00022354"/>
    <w:rsid w:val="00034343"/>
    <w:rsid w:val="00141B3B"/>
    <w:rsid w:val="001C0A5E"/>
    <w:rsid w:val="00275F0B"/>
    <w:rsid w:val="002D5E9C"/>
    <w:rsid w:val="002E7156"/>
    <w:rsid w:val="00367B27"/>
    <w:rsid w:val="00390715"/>
    <w:rsid w:val="00406128"/>
    <w:rsid w:val="00407605"/>
    <w:rsid w:val="004507A1"/>
    <w:rsid w:val="00454E56"/>
    <w:rsid w:val="0046642B"/>
    <w:rsid w:val="004E4BEB"/>
    <w:rsid w:val="00507BA4"/>
    <w:rsid w:val="00511027"/>
    <w:rsid w:val="00531639"/>
    <w:rsid w:val="0054391D"/>
    <w:rsid w:val="005966E5"/>
    <w:rsid w:val="005D4EC0"/>
    <w:rsid w:val="005E1EE8"/>
    <w:rsid w:val="005E55F7"/>
    <w:rsid w:val="00684D5C"/>
    <w:rsid w:val="006F0F50"/>
    <w:rsid w:val="00751FA9"/>
    <w:rsid w:val="007B44F9"/>
    <w:rsid w:val="00837694"/>
    <w:rsid w:val="0084186B"/>
    <w:rsid w:val="00896B1F"/>
    <w:rsid w:val="009137D2"/>
    <w:rsid w:val="0094001F"/>
    <w:rsid w:val="00970AA6"/>
    <w:rsid w:val="009831B1"/>
    <w:rsid w:val="009A1F46"/>
    <w:rsid w:val="00A369E4"/>
    <w:rsid w:val="00A668EE"/>
    <w:rsid w:val="00AA11A7"/>
    <w:rsid w:val="00AA5744"/>
    <w:rsid w:val="00AB3F45"/>
    <w:rsid w:val="00B07B6C"/>
    <w:rsid w:val="00C00CF8"/>
    <w:rsid w:val="00C913F3"/>
    <w:rsid w:val="00C93676"/>
    <w:rsid w:val="00CA619D"/>
    <w:rsid w:val="00CC27FB"/>
    <w:rsid w:val="00CE2272"/>
    <w:rsid w:val="00CE3CF1"/>
    <w:rsid w:val="00D41E42"/>
    <w:rsid w:val="00D654D1"/>
    <w:rsid w:val="00DC0E21"/>
    <w:rsid w:val="00E43DBE"/>
    <w:rsid w:val="00E70A74"/>
    <w:rsid w:val="00EA2771"/>
    <w:rsid w:val="00F46EF9"/>
    <w:rsid w:val="00F4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E21"/>
    <w:rPr>
      <w:color w:val="0000FF" w:themeColor="hyperlink"/>
      <w:u w:val="single"/>
    </w:rPr>
  </w:style>
  <w:style w:type="paragraph" w:styleId="ListParagraph">
    <w:name w:val="List Paragraph"/>
    <w:basedOn w:val="Normal"/>
    <w:uiPriority w:val="34"/>
    <w:qFormat/>
    <w:rsid w:val="00DC0E21"/>
    <w:pPr>
      <w:ind w:left="720"/>
      <w:contextualSpacing/>
    </w:pPr>
  </w:style>
  <w:style w:type="character" w:customStyle="1" w:styleId="apple-converted-space">
    <w:name w:val="apple-converted-space"/>
    <w:basedOn w:val="DefaultParagraphFont"/>
    <w:rsid w:val="00970AA6"/>
  </w:style>
  <w:style w:type="character" w:styleId="FollowedHyperlink">
    <w:name w:val="FollowedHyperlink"/>
    <w:basedOn w:val="DefaultParagraphFont"/>
    <w:uiPriority w:val="99"/>
    <w:semiHidden/>
    <w:unhideWhenUsed/>
    <w:rsid w:val="00E43DBE"/>
    <w:rPr>
      <w:color w:val="800080" w:themeColor="followedHyperlink"/>
      <w:u w:val="single"/>
    </w:rPr>
  </w:style>
  <w:style w:type="character" w:styleId="CommentReference">
    <w:name w:val="annotation reference"/>
    <w:basedOn w:val="DefaultParagraphFont"/>
    <w:uiPriority w:val="99"/>
    <w:semiHidden/>
    <w:unhideWhenUsed/>
    <w:rsid w:val="00275F0B"/>
    <w:rPr>
      <w:sz w:val="16"/>
      <w:szCs w:val="16"/>
    </w:rPr>
  </w:style>
  <w:style w:type="paragraph" w:styleId="CommentText">
    <w:name w:val="annotation text"/>
    <w:basedOn w:val="Normal"/>
    <w:link w:val="CommentTextChar"/>
    <w:uiPriority w:val="99"/>
    <w:semiHidden/>
    <w:unhideWhenUsed/>
    <w:rsid w:val="00275F0B"/>
    <w:pPr>
      <w:spacing w:line="240" w:lineRule="auto"/>
    </w:pPr>
    <w:rPr>
      <w:sz w:val="20"/>
      <w:szCs w:val="20"/>
    </w:rPr>
  </w:style>
  <w:style w:type="character" w:customStyle="1" w:styleId="CommentTextChar">
    <w:name w:val="Comment Text Char"/>
    <w:basedOn w:val="DefaultParagraphFont"/>
    <w:link w:val="CommentText"/>
    <w:uiPriority w:val="99"/>
    <w:semiHidden/>
    <w:rsid w:val="00275F0B"/>
    <w:rPr>
      <w:sz w:val="20"/>
      <w:szCs w:val="20"/>
    </w:rPr>
  </w:style>
  <w:style w:type="paragraph" w:styleId="CommentSubject">
    <w:name w:val="annotation subject"/>
    <w:basedOn w:val="CommentText"/>
    <w:next w:val="CommentText"/>
    <w:link w:val="CommentSubjectChar"/>
    <w:uiPriority w:val="99"/>
    <w:semiHidden/>
    <w:unhideWhenUsed/>
    <w:rsid w:val="00275F0B"/>
    <w:rPr>
      <w:b/>
      <w:bCs/>
    </w:rPr>
  </w:style>
  <w:style w:type="character" w:customStyle="1" w:styleId="CommentSubjectChar">
    <w:name w:val="Comment Subject Char"/>
    <w:basedOn w:val="CommentTextChar"/>
    <w:link w:val="CommentSubject"/>
    <w:uiPriority w:val="99"/>
    <w:semiHidden/>
    <w:rsid w:val="00275F0B"/>
    <w:rPr>
      <w:b/>
      <w:bCs/>
      <w:sz w:val="20"/>
      <w:szCs w:val="20"/>
    </w:rPr>
  </w:style>
  <w:style w:type="paragraph" w:styleId="BalloonText">
    <w:name w:val="Balloon Text"/>
    <w:basedOn w:val="Normal"/>
    <w:link w:val="BalloonTextChar"/>
    <w:uiPriority w:val="99"/>
    <w:semiHidden/>
    <w:unhideWhenUsed/>
    <w:rsid w:val="0027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E21"/>
    <w:rPr>
      <w:color w:val="0000FF" w:themeColor="hyperlink"/>
      <w:u w:val="single"/>
    </w:rPr>
  </w:style>
  <w:style w:type="paragraph" w:styleId="ListParagraph">
    <w:name w:val="List Paragraph"/>
    <w:basedOn w:val="Normal"/>
    <w:uiPriority w:val="34"/>
    <w:qFormat/>
    <w:rsid w:val="00DC0E21"/>
    <w:pPr>
      <w:ind w:left="720"/>
      <w:contextualSpacing/>
    </w:pPr>
  </w:style>
  <w:style w:type="character" w:customStyle="1" w:styleId="apple-converted-space">
    <w:name w:val="apple-converted-space"/>
    <w:basedOn w:val="DefaultParagraphFont"/>
    <w:rsid w:val="00970AA6"/>
  </w:style>
  <w:style w:type="character" w:styleId="FollowedHyperlink">
    <w:name w:val="FollowedHyperlink"/>
    <w:basedOn w:val="DefaultParagraphFont"/>
    <w:uiPriority w:val="99"/>
    <w:semiHidden/>
    <w:unhideWhenUsed/>
    <w:rsid w:val="00E43DBE"/>
    <w:rPr>
      <w:color w:val="800080" w:themeColor="followedHyperlink"/>
      <w:u w:val="single"/>
    </w:rPr>
  </w:style>
  <w:style w:type="character" w:styleId="CommentReference">
    <w:name w:val="annotation reference"/>
    <w:basedOn w:val="DefaultParagraphFont"/>
    <w:uiPriority w:val="99"/>
    <w:semiHidden/>
    <w:unhideWhenUsed/>
    <w:rsid w:val="00275F0B"/>
    <w:rPr>
      <w:sz w:val="16"/>
      <w:szCs w:val="16"/>
    </w:rPr>
  </w:style>
  <w:style w:type="paragraph" w:styleId="CommentText">
    <w:name w:val="annotation text"/>
    <w:basedOn w:val="Normal"/>
    <w:link w:val="CommentTextChar"/>
    <w:uiPriority w:val="99"/>
    <w:semiHidden/>
    <w:unhideWhenUsed/>
    <w:rsid w:val="00275F0B"/>
    <w:pPr>
      <w:spacing w:line="240" w:lineRule="auto"/>
    </w:pPr>
    <w:rPr>
      <w:sz w:val="20"/>
      <w:szCs w:val="20"/>
    </w:rPr>
  </w:style>
  <w:style w:type="character" w:customStyle="1" w:styleId="CommentTextChar">
    <w:name w:val="Comment Text Char"/>
    <w:basedOn w:val="DefaultParagraphFont"/>
    <w:link w:val="CommentText"/>
    <w:uiPriority w:val="99"/>
    <w:semiHidden/>
    <w:rsid w:val="00275F0B"/>
    <w:rPr>
      <w:sz w:val="20"/>
      <w:szCs w:val="20"/>
    </w:rPr>
  </w:style>
  <w:style w:type="paragraph" w:styleId="CommentSubject">
    <w:name w:val="annotation subject"/>
    <w:basedOn w:val="CommentText"/>
    <w:next w:val="CommentText"/>
    <w:link w:val="CommentSubjectChar"/>
    <w:uiPriority w:val="99"/>
    <w:semiHidden/>
    <w:unhideWhenUsed/>
    <w:rsid w:val="00275F0B"/>
    <w:rPr>
      <w:b/>
      <w:bCs/>
    </w:rPr>
  </w:style>
  <w:style w:type="character" w:customStyle="1" w:styleId="CommentSubjectChar">
    <w:name w:val="Comment Subject Char"/>
    <w:basedOn w:val="CommentTextChar"/>
    <w:link w:val="CommentSubject"/>
    <w:uiPriority w:val="99"/>
    <w:semiHidden/>
    <w:rsid w:val="00275F0B"/>
    <w:rPr>
      <w:b/>
      <w:bCs/>
      <w:sz w:val="20"/>
      <w:szCs w:val="20"/>
    </w:rPr>
  </w:style>
  <w:style w:type="paragraph" w:styleId="BalloonText">
    <w:name w:val="Balloon Text"/>
    <w:basedOn w:val="Normal"/>
    <w:link w:val="BalloonTextChar"/>
    <w:uiPriority w:val="99"/>
    <w:semiHidden/>
    <w:unhideWhenUsed/>
    <w:rsid w:val="0027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4219">
      <w:bodyDiv w:val="1"/>
      <w:marLeft w:val="0"/>
      <w:marRight w:val="0"/>
      <w:marTop w:val="0"/>
      <w:marBottom w:val="0"/>
      <w:divBdr>
        <w:top w:val="none" w:sz="0" w:space="0" w:color="auto"/>
        <w:left w:val="none" w:sz="0" w:space="0" w:color="auto"/>
        <w:bottom w:val="none" w:sz="0" w:space="0" w:color="auto"/>
        <w:right w:val="none" w:sz="0" w:space="0" w:color="auto"/>
      </w:divBdr>
      <w:divsChild>
        <w:div w:id="1071733893">
          <w:marLeft w:val="0"/>
          <w:marRight w:val="0"/>
          <w:marTop w:val="0"/>
          <w:marBottom w:val="0"/>
          <w:divBdr>
            <w:top w:val="none" w:sz="0" w:space="0" w:color="auto"/>
            <w:left w:val="none" w:sz="0" w:space="0" w:color="auto"/>
            <w:bottom w:val="none" w:sz="0" w:space="0" w:color="auto"/>
            <w:right w:val="none" w:sz="0" w:space="0" w:color="auto"/>
          </w:divBdr>
        </w:div>
        <w:div w:id="119301258">
          <w:marLeft w:val="0"/>
          <w:marRight w:val="0"/>
          <w:marTop w:val="0"/>
          <w:marBottom w:val="0"/>
          <w:divBdr>
            <w:top w:val="none" w:sz="0" w:space="0" w:color="auto"/>
            <w:left w:val="none" w:sz="0" w:space="0" w:color="auto"/>
            <w:bottom w:val="none" w:sz="0" w:space="0" w:color="auto"/>
            <w:right w:val="none" w:sz="0" w:space="0" w:color="auto"/>
          </w:divBdr>
        </w:div>
      </w:divsChild>
    </w:div>
    <w:div w:id="729765537">
      <w:bodyDiv w:val="1"/>
      <w:marLeft w:val="0"/>
      <w:marRight w:val="0"/>
      <w:marTop w:val="0"/>
      <w:marBottom w:val="0"/>
      <w:divBdr>
        <w:top w:val="none" w:sz="0" w:space="0" w:color="auto"/>
        <w:left w:val="none" w:sz="0" w:space="0" w:color="auto"/>
        <w:bottom w:val="none" w:sz="0" w:space="0" w:color="auto"/>
        <w:right w:val="none" w:sz="0" w:space="0" w:color="auto"/>
      </w:divBdr>
    </w:div>
    <w:div w:id="15011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childrenslab.org/plug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PreventionGenetics</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Laiken Peterson</dc:creator>
  <cp:lastModifiedBy>Rachel Reed</cp:lastModifiedBy>
  <cp:revision>2</cp:revision>
  <cp:lastPrinted>2016-08-24T19:10:00Z</cp:lastPrinted>
  <dcterms:created xsi:type="dcterms:W3CDTF">2019-01-10T19:53:00Z</dcterms:created>
  <dcterms:modified xsi:type="dcterms:W3CDTF">2019-01-10T19:53:00Z</dcterms:modified>
</cp:coreProperties>
</file>